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14410"/>
      </w:tblGrid>
      <w:tr w:rsidR="00A17672" w:rsidRPr="00E43401" w14:paraId="0AF44EB2" w14:textId="77777777" w:rsidTr="0024733B">
        <w:tc>
          <w:tcPr>
            <w:tcW w:w="14410" w:type="dxa"/>
            <w:shd w:val="clear" w:color="auto" w:fill="FFFF00"/>
          </w:tcPr>
          <w:p w14:paraId="42EFF770" w14:textId="77777777" w:rsidR="00A17672" w:rsidRPr="004A4F72" w:rsidRDefault="00A17672" w:rsidP="0024733B">
            <w:pPr>
              <w:jc w:val="center"/>
              <w:rPr>
                <w:b/>
                <w:sz w:val="32"/>
                <w:szCs w:val="32"/>
              </w:rPr>
            </w:pPr>
            <w:r w:rsidRPr="004A4F72">
              <w:rPr>
                <w:b/>
                <w:sz w:val="32"/>
                <w:szCs w:val="32"/>
              </w:rPr>
              <w:t>Committee Objectives</w:t>
            </w:r>
          </w:p>
        </w:tc>
      </w:tr>
      <w:tr w:rsidR="00A17672" w14:paraId="4DC6A273" w14:textId="77777777" w:rsidTr="0024733B">
        <w:tc>
          <w:tcPr>
            <w:tcW w:w="14410" w:type="dxa"/>
          </w:tcPr>
          <w:p w14:paraId="597BAF52" w14:textId="46E1D256" w:rsidR="00A17672" w:rsidRPr="00A17672" w:rsidRDefault="00A17672" w:rsidP="0024733B">
            <w:r w:rsidRPr="00CD2F55">
              <w:rPr>
                <w:b/>
              </w:rPr>
              <w:t>To identify and prioritise developing legislation and issues</w:t>
            </w:r>
            <w:r w:rsidRPr="00A17672">
              <w:t xml:space="preserve"> that can impact on the ability of the UKCPI Member to formulate, package, distribute and market their products.</w:t>
            </w:r>
          </w:p>
          <w:p w14:paraId="7901C084" w14:textId="14F6A574" w:rsidR="00A17672" w:rsidRPr="00A17672" w:rsidRDefault="00A17672" w:rsidP="0024733B">
            <w:r w:rsidRPr="00CD2F55">
              <w:rPr>
                <w:b/>
              </w:rPr>
              <w:t>To engage with Members and collate their views to arrive at a common position</w:t>
            </w:r>
            <w:r w:rsidRPr="00A17672">
              <w:t xml:space="preserve"> that safeguards the interests of UKCPI Members. Actively promote the UK Industry position with the relevant </w:t>
            </w:r>
            <w:r w:rsidR="007B7B30">
              <w:t xml:space="preserve">internal industry associations (AISE, ACI, etc) </w:t>
            </w:r>
          </w:p>
          <w:p w14:paraId="53437F17" w14:textId="77777777" w:rsidR="00A17672" w:rsidRPr="00A17672" w:rsidRDefault="00A17672" w:rsidP="0024733B">
            <w:r w:rsidRPr="00CD2F55">
              <w:rPr>
                <w:b/>
              </w:rPr>
              <w:t>Identify the routes for sharing, promoting and influencing such common positions</w:t>
            </w:r>
            <w:r w:rsidRPr="00A17672">
              <w:t xml:space="preserve"> with legislative authorities and other interested bodies and to participate in the relevant external groups e.g. </w:t>
            </w:r>
            <w:r w:rsidR="00CD2F55">
              <w:t>CSF, ACA</w:t>
            </w:r>
            <w:r w:rsidRPr="00A17672">
              <w:t xml:space="preserve"> etc.</w:t>
            </w:r>
          </w:p>
          <w:p w14:paraId="4FF5AF40" w14:textId="14B9EC4C" w:rsidR="00A17672" w:rsidRDefault="00A17672" w:rsidP="0024733B">
            <w:r w:rsidRPr="00CD2F55">
              <w:rPr>
                <w:b/>
              </w:rPr>
              <w:t xml:space="preserve">To ensure adequate links within company technical </w:t>
            </w:r>
            <w:r w:rsidR="00CD2F55" w:rsidRPr="00CD2F55">
              <w:rPr>
                <w:b/>
              </w:rPr>
              <w:t xml:space="preserve">and external affairs </w:t>
            </w:r>
            <w:r w:rsidRPr="00CD2F55">
              <w:rPr>
                <w:b/>
              </w:rPr>
              <w:t>staff</w:t>
            </w:r>
            <w:r w:rsidRPr="00A17672">
              <w:t xml:space="preserve"> and </w:t>
            </w:r>
            <w:r w:rsidR="007B7B30">
              <w:t xml:space="preserve">coverage of </w:t>
            </w:r>
            <w:r w:rsidRPr="00A17672">
              <w:t>AISE technical</w:t>
            </w:r>
            <w:r w:rsidR="00CD2F55">
              <w:t>,</w:t>
            </w:r>
            <w:r w:rsidRPr="00A17672">
              <w:t xml:space="preserve"> regulatory </w:t>
            </w:r>
            <w:r w:rsidR="00CD2F55">
              <w:t xml:space="preserve">and communication </w:t>
            </w:r>
            <w:r w:rsidRPr="00A17672">
              <w:t xml:space="preserve">groups in order to ensure that the UKCPI </w:t>
            </w:r>
            <w:r w:rsidR="00CD2F55">
              <w:t>ARC Committee and</w:t>
            </w:r>
            <w:r w:rsidRPr="00A17672">
              <w:t xml:space="preserve"> the wider UKCPI Membership, is kept up to dat</w:t>
            </w:r>
            <w:r w:rsidR="00CD2F55">
              <w:t xml:space="preserve">e on progress of regulatory, </w:t>
            </w:r>
            <w:r w:rsidRPr="00A17672">
              <w:t xml:space="preserve">technical </w:t>
            </w:r>
            <w:r w:rsidR="00CD2F55">
              <w:t xml:space="preserve">and external affairs </w:t>
            </w:r>
            <w:r w:rsidRPr="00A17672">
              <w:t>matters.</w:t>
            </w:r>
          </w:p>
          <w:p w14:paraId="1F510FA1" w14:textId="2BCE82C6" w:rsidR="00CD2F55" w:rsidRPr="00CD2F55" w:rsidRDefault="00CD2F55" w:rsidP="00CD2F55">
            <w:pPr>
              <w:rPr>
                <w:rFonts w:ascii="Calibri" w:hAnsi="Calibri" w:cs="Calibri"/>
              </w:rPr>
            </w:pPr>
            <w:r w:rsidRPr="00CD2F55">
              <w:rPr>
                <w:rFonts w:ascii="Calibri" w:hAnsi="Calibri" w:cs="Calibri"/>
                <w:b/>
                <w:bCs/>
              </w:rPr>
              <w:t xml:space="preserve">To act as internal champions </w:t>
            </w:r>
            <w:r w:rsidRPr="00CD2F55">
              <w:rPr>
                <w:rFonts w:ascii="Calibri" w:hAnsi="Calibri" w:cs="Calibri"/>
                <w:bCs/>
              </w:rPr>
              <w:t>for UKCPI and AISE activities within member companies,</w:t>
            </w:r>
            <w:r w:rsidRPr="00CD2F55">
              <w:rPr>
                <w:rFonts w:ascii="Calibri" w:hAnsi="Calibri" w:cs="Calibri"/>
                <w:b/>
                <w:bCs/>
              </w:rPr>
              <w:t xml:space="preserve"> </w:t>
            </w:r>
            <w:r w:rsidRPr="00CD2F55">
              <w:rPr>
                <w:rFonts w:ascii="Calibri" w:hAnsi="Calibri" w:cs="Calibri"/>
                <w:bCs/>
              </w:rPr>
              <w:t>and to</w:t>
            </w:r>
            <w:r w:rsidRPr="00CD2F55">
              <w:rPr>
                <w:rFonts w:ascii="Calibri" w:hAnsi="Calibri" w:cs="Calibri"/>
              </w:rPr>
              <w:t xml:space="preserve"> </w:t>
            </w:r>
            <w:r w:rsidRPr="00CD2F55">
              <w:rPr>
                <w:rFonts w:ascii="Calibri" w:hAnsi="Calibri" w:cs="Calibri"/>
                <w:b/>
              </w:rPr>
              <w:t>provide access to company expertise</w:t>
            </w:r>
            <w:r w:rsidRPr="00CD2F55">
              <w:rPr>
                <w:rFonts w:ascii="Calibri" w:hAnsi="Calibri" w:cs="Calibri"/>
              </w:rPr>
              <w:t xml:space="preserve"> as required</w:t>
            </w:r>
            <w:r w:rsidR="00DB3A44">
              <w:rPr>
                <w:rFonts w:ascii="Calibri" w:hAnsi="Calibri" w:cs="Calibri"/>
              </w:rPr>
              <w:t>.</w:t>
            </w:r>
          </w:p>
          <w:p w14:paraId="03D1641D" w14:textId="77777777" w:rsidR="00A17672" w:rsidRPr="00A17672" w:rsidRDefault="00A17672" w:rsidP="00A17672">
            <w:pPr>
              <w:rPr>
                <w:rFonts w:ascii="Calibri" w:hAnsi="Calibri" w:cs="Calibri"/>
              </w:rPr>
            </w:pPr>
            <w:r w:rsidRPr="00A17672">
              <w:rPr>
                <w:rFonts w:ascii="Calibri" w:hAnsi="Calibri" w:cs="Calibri"/>
                <w:b/>
                <w:bCs/>
              </w:rPr>
              <w:t xml:space="preserve">To oversee the external communications activities of the UKCPI </w:t>
            </w:r>
            <w:r w:rsidRPr="00A17672">
              <w:rPr>
                <w:rFonts w:ascii="Calibri" w:hAnsi="Calibri" w:cs="Calibri"/>
              </w:rPr>
              <w:t>so it is best able to deliver a more favourable business environment and public perception for UKCPI members to continue to produce and market their products.</w:t>
            </w:r>
            <w:r w:rsidRPr="00A17672">
              <w:rPr>
                <w:rFonts w:ascii="Calibri" w:hAnsi="Calibri" w:cs="Calibri"/>
              </w:rPr>
              <w:br/>
              <w:t xml:space="preserve">These activities comprise: </w:t>
            </w:r>
          </w:p>
          <w:p w14:paraId="12FA7119" w14:textId="2C7BA3F9" w:rsidR="00A17672" w:rsidRPr="00A17672" w:rsidRDefault="00A17672" w:rsidP="00A17672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Cs w:val="22"/>
              </w:rPr>
            </w:pPr>
            <w:r w:rsidRPr="00A17672">
              <w:rPr>
                <w:rFonts w:ascii="Calibri" w:hAnsi="Calibri" w:cs="Calibri"/>
                <w:szCs w:val="22"/>
              </w:rPr>
              <w:t>the promotion and protection of the</w:t>
            </w:r>
            <w:r w:rsidRPr="00A17672">
              <w:rPr>
                <w:rFonts w:ascii="Calibri" w:hAnsi="Calibri" w:cs="Calibri"/>
                <w:b/>
                <w:bCs/>
                <w:szCs w:val="22"/>
              </w:rPr>
              <w:t xml:space="preserve"> industry's reputation</w:t>
            </w:r>
            <w:r w:rsidR="00D71C3D">
              <w:rPr>
                <w:rFonts w:ascii="Calibri" w:hAnsi="Calibri" w:cs="Calibri"/>
                <w:szCs w:val="22"/>
              </w:rPr>
              <w:t xml:space="preserve"> for producing</w:t>
            </w:r>
            <w:r w:rsidRPr="00A17672">
              <w:rPr>
                <w:rFonts w:ascii="Calibri" w:hAnsi="Calibri" w:cs="Calibri"/>
                <w:szCs w:val="22"/>
              </w:rPr>
              <w:t xml:space="preserve"> quality products which benefit society and are safe for consumers, safe for the people who make them, safe for the environment and are sustainable</w:t>
            </w:r>
            <w:r w:rsidR="00DB3A44">
              <w:rPr>
                <w:rFonts w:ascii="Calibri" w:hAnsi="Calibri" w:cs="Calibri"/>
                <w:szCs w:val="22"/>
              </w:rPr>
              <w:t>;</w:t>
            </w:r>
          </w:p>
          <w:p w14:paraId="2CD18747" w14:textId="4DFF5941" w:rsidR="00A17672" w:rsidRPr="00A17672" w:rsidRDefault="00A17672" w:rsidP="00A17672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Cs w:val="22"/>
              </w:rPr>
            </w:pPr>
            <w:r w:rsidRPr="00A17672">
              <w:rPr>
                <w:rFonts w:ascii="Calibri" w:hAnsi="Calibri" w:cs="Calibri"/>
                <w:szCs w:val="22"/>
              </w:rPr>
              <w:t xml:space="preserve">the provision of a unifying and </w:t>
            </w:r>
            <w:r w:rsidRPr="00A17672">
              <w:rPr>
                <w:rFonts w:ascii="Calibri" w:hAnsi="Calibri" w:cs="Calibri"/>
                <w:b/>
                <w:bCs/>
                <w:szCs w:val="22"/>
              </w:rPr>
              <w:t>authoritative voice,</w:t>
            </w:r>
            <w:r w:rsidRPr="00A17672">
              <w:rPr>
                <w:rFonts w:ascii="Calibri" w:hAnsi="Calibri" w:cs="Calibri"/>
                <w:szCs w:val="22"/>
              </w:rPr>
              <w:t xml:space="preserve"> proactive and reactive, on issues relevant to both the UKCPI membership and AISE advocacy</w:t>
            </w:r>
            <w:r w:rsidR="00DB3A44">
              <w:rPr>
                <w:rFonts w:ascii="Calibri" w:hAnsi="Calibri" w:cs="Calibri"/>
                <w:szCs w:val="22"/>
              </w:rPr>
              <w:t>;</w:t>
            </w:r>
          </w:p>
          <w:p w14:paraId="0C7DB648" w14:textId="68E38405" w:rsidR="00A17672" w:rsidRPr="0002608F" w:rsidRDefault="00A17672" w:rsidP="007B7B30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Cs w:val="22"/>
              </w:rPr>
            </w:pPr>
            <w:r w:rsidRPr="00A17672">
              <w:rPr>
                <w:rFonts w:ascii="Calibri" w:hAnsi="Calibri" w:cs="Calibri"/>
                <w:szCs w:val="22"/>
              </w:rPr>
              <w:t xml:space="preserve">the identification and nurturing of a </w:t>
            </w:r>
            <w:r w:rsidRPr="00A17672">
              <w:rPr>
                <w:rFonts w:ascii="Calibri" w:hAnsi="Calibri" w:cs="Calibri"/>
                <w:b/>
                <w:szCs w:val="22"/>
              </w:rPr>
              <w:t>stakeholder network</w:t>
            </w:r>
            <w:r w:rsidRPr="00A17672">
              <w:rPr>
                <w:rFonts w:ascii="Calibri" w:hAnsi="Calibri" w:cs="Calibri"/>
                <w:szCs w:val="22"/>
              </w:rPr>
              <w:t xml:space="preserve"> that is briefed (and supportive) of the ac</w:t>
            </w:r>
            <w:r w:rsidR="00DB3A44">
              <w:rPr>
                <w:rFonts w:ascii="Calibri" w:hAnsi="Calibri" w:cs="Calibri"/>
                <w:szCs w:val="22"/>
              </w:rPr>
              <w:t>tivities and positions of UKCPI.</w:t>
            </w:r>
          </w:p>
        </w:tc>
      </w:tr>
    </w:tbl>
    <w:p w14:paraId="5852FBC1" w14:textId="77777777" w:rsidR="00D3117C" w:rsidRDefault="00D3117C"/>
    <w:p w14:paraId="0290FD20" w14:textId="77777777" w:rsidR="00706537" w:rsidRDefault="00706537"/>
    <w:tbl>
      <w:tblPr>
        <w:tblW w:w="14630" w:type="dxa"/>
        <w:tblInd w:w="113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3827"/>
        <w:gridCol w:w="1701"/>
        <w:gridCol w:w="4424"/>
      </w:tblGrid>
      <w:tr w:rsidR="00706537" w:rsidRPr="00BC55DC" w14:paraId="421F3329" w14:textId="77777777" w:rsidTr="0024733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4B5838" w14:textId="77777777" w:rsidR="00706537" w:rsidRPr="00BC55DC" w:rsidRDefault="00706537" w:rsidP="0024733B">
            <w:pPr>
              <w:rPr>
                <w:rFonts w:cs="Arial"/>
                <w:b/>
                <w:bCs/>
                <w:sz w:val="40"/>
                <w:szCs w:val="40"/>
              </w:rPr>
            </w:pPr>
            <w:r w:rsidRPr="00BC55DC">
              <w:rPr>
                <w:rFonts w:cs="Arial"/>
                <w:b/>
                <w:bCs/>
                <w:sz w:val="40"/>
                <w:szCs w:val="40"/>
              </w:rPr>
              <w:lastRenderedPageBreak/>
              <w:t>Advocacy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8841A89" w14:textId="77777777" w:rsidR="00706537" w:rsidRPr="00BC55DC" w:rsidRDefault="00706537" w:rsidP="0024733B">
            <w:pPr>
              <w:rPr>
                <w:rFonts w:cs="Arial"/>
                <w:b/>
              </w:rPr>
            </w:pPr>
            <w:r w:rsidRPr="00BC55DC">
              <w:rPr>
                <w:rFonts w:cs="Arial"/>
                <w:sz w:val="20"/>
                <w:szCs w:val="20"/>
              </w:rPr>
              <w:t> </w:t>
            </w:r>
            <w:r w:rsidR="00BC55DC" w:rsidRPr="00BC55DC">
              <w:rPr>
                <w:rFonts w:cs="Arial"/>
                <w:b/>
              </w:rPr>
              <w:t>Support required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FAE178" w14:textId="77777777" w:rsidR="00706537" w:rsidRPr="00BC55DC" w:rsidRDefault="00706537" w:rsidP="0024733B">
            <w:pPr>
              <w:rPr>
                <w:rFonts w:cs="Arial"/>
                <w:b/>
              </w:rPr>
            </w:pPr>
            <w:r w:rsidRPr="00BC55DC">
              <w:rPr>
                <w:rFonts w:cs="Arial"/>
                <w:b/>
              </w:rPr>
              <w:t> </w:t>
            </w:r>
            <w:r w:rsidR="00BC55DC" w:rsidRPr="00BC55DC">
              <w:rPr>
                <w:rFonts w:cs="Arial"/>
                <w:b/>
              </w:rPr>
              <w:t>Responsibility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9A8A16B" w14:textId="77777777" w:rsidR="00706537" w:rsidRPr="00BC55DC" w:rsidRDefault="00706537" w:rsidP="0024733B">
            <w:pPr>
              <w:rPr>
                <w:rFonts w:cs="Arial"/>
                <w:b/>
              </w:rPr>
            </w:pPr>
            <w:r w:rsidRPr="00BC55DC">
              <w:rPr>
                <w:rFonts w:cs="Arial"/>
                <w:b/>
              </w:rPr>
              <w:t> </w:t>
            </w:r>
            <w:r w:rsidR="00BC55DC" w:rsidRPr="00BC55DC">
              <w:rPr>
                <w:rFonts w:cs="Arial"/>
                <w:b/>
              </w:rPr>
              <w:t>Action / Status</w:t>
            </w:r>
          </w:p>
          <w:p w14:paraId="35456422" w14:textId="77777777" w:rsidR="00706537" w:rsidRPr="00BC55DC" w:rsidRDefault="00706537" w:rsidP="0024733B">
            <w:pPr>
              <w:rPr>
                <w:rFonts w:cs="Arial"/>
                <w:b/>
              </w:rPr>
            </w:pPr>
            <w:r w:rsidRPr="00BC55DC">
              <w:rPr>
                <w:rFonts w:cs="Arial"/>
                <w:b/>
              </w:rPr>
              <w:t> </w:t>
            </w:r>
          </w:p>
        </w:tc>
      </w:tr>
      <w:tr w:rsidR="00BC55DC" w:rsidRPr="00BC55DC" w14:paraId="6EC9EBAB" w14:textId="77777777" w:rsidTr="0024733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A7852" w14:textId="77777777" w:rsidR="00BC55DC" w:rsidRPr="00BC55DC" w:rsidRDefault="00BC55DC" w:rsidP="00BC55DC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BC55DC">
              <w:rPr>
                <w:rFonts w:cs="Arial"/>
              </w:rPr>
              <w:t xml:space="preserve">Seek input from members on potential </w:t>
            </w:r>
            <w:r w:rsidRPr="00BC55DC">
              <w:rPr>
                <w:rFonts w:cs="Arial"/>
                <w:b/>
              </w:rPr>
              <w:t>regulatory scenarios due to Brexit</w:t>
            </w:r>
          </w:p>
          <w:p w14:paraId="40E6C61E" w14:textId="77777777" w:rsidR="00BC55DC" w:rsidRPr="00BC55DC" w:rsidRDefault="00BC55DC" w:rsidP="00BC55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04B4F0D" w14:textId="77777777" w:rsidR="00BC55DC" w:rsidRPr="00BC55DC" w:rsidRDefault="00BC55DC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Engagement and feedback from membership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4A3FB" w14:textId="77777777" w:rsidR="00BC55DC" w:rsidRPr="00BC55DC" w:rsidRDefault="00BC55DC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PM / SS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CB38A35" w14:textId="77777777" w:rsidR="00BC55DC" w:rsidRPr="00BC55DC" w:rsidRDefault="00BC55DC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Ongoing</w:t>
            </w:r>
          </w:p>
        </w:tc>
      </w:tr>
      <w:tr w:rsidR="00706537" w:rsidRPr="00BC55DC" w14:paraId="1A6F6D35" w14:textId="77777777" w:rsidTr="0024733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2E5D9" w14:textId="77777777" w:rsidR="00706537" w:rsidRPr="00BC55DC" w:rsidRDefault="00706537" w:rsidP="00706537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BC55DC">
              <w:rPr>
                <w:rFonts w:cs="Arial"/>
              </w:rPr>
              <w:t xml:space="preserve">Track </w:t>
            </w:r>
            <w:r w:rsidRPr="00BC55DC">
              <w:rPr>
                <w:rFonts w:cs="Arial"/>
                <w:b/>
              </w:rPr>
              <w:t>AISE advocacy programme</w:t>
            </w:r>
            <w:r w:rsidRPr="00BC55DC">
              <w:rPr>
                <w:rFonts w:cs="Arial"/>
              </w:rPr>
              <w:t xml:space="preserve"> to ensure UKCPI is able to support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41890DF" w14:textId="5C8ED6BF" w:rsidR="00706537" w:rsidRPr="00BC55DC" w:rsidRDefault="00706537" w:rsidP="00D71C3D">
            <w:pPr>
              <w:rPr>
                <w:rFonts w:cs="Arial"/>
              </w:rPr>
            </w:pPr>
            <w:r w:rsidRPr="00BC55DC">
              <w:rPr>
                <w:rFonts w:cs="Arial"/>
              </w:rPr>
              <w:t>Support as</w:t>
            </w:r>
            <w:r w:rsidR="00D71C3D">
              <w:rPr>
                <w:rFonts w:cs="Arial"/>
              </w:rPr>
              <w:t xml:space="preserve"> required from company experts and </w:t>
            </w:r>
            <w:r w:rsidRPr="00BC55DC">
              <w:rPr>
                <w:rFonts w:cs="Arial"/>
              </w:rPr>
              <w:t xml:space="preserve">from </w:t>
            </w:r>
            <w:r w:rsidR="00D71C3D">
              <w:rPr>
                <w:rFonts w:cs="Arial"/>
              </w:rPr>
              <w:t>ARC members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A8917" w14:textId="77777777" w:rsidR="00706537" w:rsidRPr="00BC55DC" w:rsidRDefault="00706537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PM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0E9F52C" w14:textId="77777777" w:rsidR="00706537" w:rsidRPr="00BC55DC" w:rsidRDefault="00706537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PM on AISE advocacy group</w:t>
            </w:r>
          </w:p>
        </w:tc>
      </w:tr>
      <w:tr w:rsidR="00706537" w:rsidRPr="00BC55DC" w14:paraId="049498FF" w14:textId="77777777" w:rsidTr="0024733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B6345" w14:textId="089E53E8" w:rsidR="00706537" w:rsidRPr="00BC55DC" w:rsidRDefault="00706537" w:rsidP="007B7B30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BC55DC">
              <w:rPr>
                <w:rFonts w:cs="Arial"/>
              </w:rPr>
              <w:t xml:space="preserve">Build </w:t>
            </w:r>
            <w:r w:rsidRPr="00BC55DC">
              <w:rPr>
                <w:rFonts w:cs="Arial"/>
                <w:b/>
              </w:rPr>
              <w:t>constructive working relationships</w:t>
            </w:r>
            <w:r w:rsidRPr="00BC55DC">
              <w:rPr>
                <w:rFonts w:cs="Arial"/>
              </w:rPr>
              <w:t xml:space="preserve"> with relevant Govt departments / officials and institutions in order to further sector interests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06C0C7C" w14:textId="77777777" w:rsidR="00706537" w:rsidRPr="00BC55DC" w:rsidRDefault="00706537" w:rsidP="0024733B">
            <w:pPr>
              <w:rPr>
                <w:rFonts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7B049" w14:textId="77777777" w:rsidR="00706537" w:rsidRPr="00BC55DC" w:rsidRDefault="00706537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PM / SS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A2C60C" w14:textId="77777777" w:rsidR="00706537" w:rsidRPr="00BC55DC" w:rsidRDefault="00706537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Ongoing calendar of meetings</w:t>
            </w:r>
          </w:p>
        </w:tc>
      </w:tr>
      <w:tr w:rsidR="00706537" w:rsidRPr="00BC55DC" w14:paraId="7EF9563A" w14:textId="77777777" w:rsidTr="0024733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E31EC" w14:textId="3D05AEB8" w:rsidR="00706537" w:rsidRPr="00BC55DC" w:rsidRDefault="00706537" w:rsidP="00706537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BC55DC">
              <w:rPr>
                <w:rFonts w:cs="Arial"/>
              </w:rPr>
              <w:t xml:space="preserve">Actively </w:t>
            </w:r>
            <w:r w:rsidRPr="00BC55DC">
              <w:rPr>
                <w:rFonts w:cs="Arial"/>
                <w:b/>
              </w:rPr>
              <w:t>participate in</w:t>
            </w:r>
            <w:r w:rsidRPr="00BC55DC">
              <w:rPr>
                <w:rFonts w:cs="Arial"/>
              </w:rPr>
              <w:t xml:space="preserve"> </w:t>
            </w:r>
            <w:r w:rsidRPr="00BC55DC">
              <w:rPr>
                <w:rFonts w:cs="Arial"/>
                <w:b/>
              </w:rPr>
              <w:t>industry fora</w:t>
            </w:r>
            <w:r w:rsidRPr="00BC55DC">
              <w:rPr>
                <w:rFonts w:cs="Arial"/>
              </w:rPr>
              <w:t xml:space="preserve"> to ensure UKCPI voice is heard ( CSF,</w:t>
            </w:r>
            <w:r w:rsidR="00BC55DC" w:rsidRPr="00BC55DC">
              <w:rPr>
                <w:rFonts w:cs="Arial"/>
              </w:rPr>
              <w:t>ACA,</w:t>
            </w:r>
            <w:r w:rsidRPr="00BC55DC">
              <w:rPr>
                <w:rFonts w:cs="Arial"/>
              </w:rPr>
              <w:t xml:space="preserve"> </w:t>
            </w:r>
            <w:r w:rsidR="007B7B30">
              <w:rPr>
                <w:rFonts w:cs="Arial"/>
              </w:rPr>
              <w:t xml:space="preserve">Incpen, </w:t>
            </w:r>
            <w:r w:rsidRPr="00BC55DC">
              <w:rPr>
                <w:rFonts w:cs="Arial"/>
              </w:rPr>
              <w:t>Defra, Palm Oil roundtable, CBI)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8E08EB" w14:textId="77777777" w:rsidR="00706537" w:rsidRPr="00BC55DC" w:rsidRDefault="00706537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PM / Council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90592" w14:textId="77777777" w:rsidR="00706537" w:rsidRPr="00BC55DC" w:rsidRDefault="00706537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PM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57A8F4" w14:textId="77777777" w:rsidR="00706537" w:rsidRPr="00BC55DC" w:rsidRDefault="00706537" w:rsidP="0024733B">
            <w:pPr>
              <w:rPr>
                <w:rFonts w:cs="Arial"/>
              </w:rPr>
            </w:pPr>
          </w:p>
        </w:tc>
      </w:tr>
      <w:tr w:rsidR="00706537" w:rsidRPr="00BC55DC" w14:paraId="09AB0D6E" w14:textId="77777777" w:rsidTr="0024733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DFB1D" w14:textId="71A541D7" w:rsidR="00706537" w:rsidRPr="00BC55DC" w:rsidRDefault="00706537" w:rsidP="00706537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BC55DC">
              <w:rPr>
                <w:rFonts w:cs="Arial"/>
              </w:rPr>
              <w:t>Review</w:t>
            </w:r>
            <w:r w:rsidRPr="00BC55DC">
              <w:rPr>
                <w:rFonts w:cs="Arial"/>
                <w:b/>
              </w:rPr>
              <w:t xml:space="preserve"> value and membership of APMG</w:t>
            </w:r>
            <w:r w:rsidRPr="00BC55DC">
              <w:rPr>
                <w:rFonts w:cs="Arial"/>
              </w:rPr>
              <w:t xml:space="preserve"> </w:t>
            </w:r>
            <w:r w:rsidR="00BC55DC" w:rsidRPr="00BC55DC">
              <w:rPr>
                <w:rFonts w:cs="Arial"/>
              </w:rPr>
              <w:t>and engagment with UK MP’s</w:t>
            </w:r>
            <w:r w:rsidR="007B7B30">
              <w:rPr>
                <w:rFonts w:cs="Arial"/>
              </w:rPr>
              <w:t xml:space="preserve"> through a new sector specific APPG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C474DBF" w14:textId="77777777" w:rsidR="00706537" w:rsidRPr="00BC55DC" w:rsidRDefault="00BC55DC" w:rsidP="00BC55DC">
            <w:pPr>
              <w:rPr>
                <w:rFonts w:cs="Arial"/>
              </w:rPr>
            </w:pPr>
            <w:r w:rsidRPr="00BC55DC">
              <w:rPr>
                <w:rFonts w:cs="Arial"/>
              </w:rPr>
              <w:t>ARC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E536D" w14:textId="77777777" w:rsidR="00706537" w:rsidRPr="00BC55DC" w:rsidRDefault="00706537" w:rsidP="0024733B">
            <w:pPr>
              <w:rPr>
                <w:rFonts w:cs="Arial"/>
              </w:rPr>
            </w:pPr>
            <w:r w:rsidRPr="00BC55DC">
              <w:rPr>
                <w:rFonts w:cs="Arial"/>
              </w:rPr>
              <w:t>PM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75381E5" w14:textId="1E0C8E9B" w:rsidR="00706537" w:rsidRPr="00BC55DC" w:rsidRDefault="00706537" w:rsidP="007B7B30">
            <w:pPr>
              <w:rPr>
                <w:rFonts w:cs="Arial"/>
                <w:i/>
              </w:rPr>
            </w:pPr>
            <w:r w:rsidRPr="00BC55DC">
              <w:rPr>
                <w:rFonts w:cs="Arial"/>
              </w:rPr>
              <w:t xml:space="preserve">Review </w:t>
            </w:r>
            <w:r w:rsidR="00BC55DC" w:rsidRPr="00BC55DC">
              <w:rPr>
                <w:rFonts w:cs="Arial"/>
              </w:rPr>
              <w:t xml:space="preserve">to commence </w:t>
            </w:r>
            <w:r w:rsidR="007B7B30">
              <w:rPr>
                <w:rFonts w:cs="Arial"/>
              </w:rPr>
              <w:t>post brexit</w:t>
            </w:r>
          </w:p>
        </w:tc>
      </w:tr>
    </w:tbl>
    <w:p w14:paraId="483D8DF9" w14:textId="77777777" w:rsidR="005D2326" w:rsidRDefault="005D2326"/>
    <w:p w14:paraId="4542652A" w14:textId="77777777" w:rsidR="00E17347" w:rsidRDefault="00E17347"/>
    <w:p w14:paraId="1F2FC88A" w14:textId="77777777" w:rsidR="00E17347" w:rsidRDefault="00E17347"/>
    <w:p w14:paraId="072D062A" w14:textId="77777777" w:rsidR="00E17347" w:rsidRDefault="00E17347"/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3496"/>
        <w:gridCol w:w="5844"/>
      </w:tblGrid>
      <w:tr w:rsidR="005D2326" w:rsidRPr="00BC55DC" w14:paraId="459FE4BC" w14:textId="77777777" w:rsidTr="0024733B">
        <w:tc>
          <w:tcPr>
            <w:tcW w:w="2376" w:type="dxa"/>
            <w:shd w:val="clear" w:color="auto" w:fill="FFFF00"/>
          </w:tcPr>
          <w:p w14:paraId="7C7C58A7" w14:textId="77777777" w:rsidR="00BC55DC" w:rsidRPr="00BC55DC" w:rsidRDefault="00BC55DC" w:rsidP="0024733B">
            <w:pPr>
              <w:rPr>
                <w:b/>
                <w:sz w:val="40"/>
                <w:szCs w:val="40"/>
              </w:rPr>
            </w:pPr>
            <w:r w:rsidRPr="00BC55DC">
              <w:rPr>
                <w:b/>
                <w:sz w:val="40"/>
                <w:szCs w:val="40"/>
              </w:rPr>
              <w:lastRenderedPageBreak/>
              <w:t>Regulatory</w:t>
            </w:r>
          </w:p>
          <w:p w14:paraId="4961FEA5" w14:textId="77777777" w:rsidR="005D2326" w:rsidRPr="00BC55DC" w:rsidRDefault="005D2326" w:rsidP="0024733B">
            <w:pPr>
              <w:rPr>
                <w:b/>
              </w:rPr>
            </w:pPr>
            <w:r w:rsidRPr="00BC55DC">
              <w:rPr>
                <w:b/>
              </w:rPr>
              <w:t>Core Areas &amp; Activities</w:t>
            </w:r>
          </w:p>
        </w:tc>
        <w:tc>
          <w:tcPr>
            <w:tcW w:w="1418" w:type="dxa"/>
            <w:shd w:val="clear" w:color="auto" w:fill="FFFF00"/>
          </w:tcPr>
          <w:p w14:paraId="4F72E312" w14:textId="77777777" w:rsidR="005D2326" w:rsidRPr="00BC55DC" w:rsidRDefault="005D2326" w:rsidP="0024733B">
            <w:pPr>
              <w:rPr>
                <w:b/>
              </w:rPr>
            </w:pPr>
            <w:r w:rsidRPr="00BC55DC">
              <w:rPr>
                <w:b/>
              </w:rPr>
              <w:t>Cmt/WG</w:t>
            </w:r>
          </w:p>
        </w:tc>
        <w:tc>
          <w:tcPr>
            <w:tcW w:w="1276" w:type="dxa"/>
            <w:shd w:val="clear" w:color="auto" w:fill="FFFF00"/>
          </w:tcPr>
          <w:p w14:paraId="057E0F4C" w14:textId="77777777" w:rsidR="005D2326" w:rsidRPr="00BC55DC" w:rsidRDefault="005D2326" w:rsidP="0024733B">
            <w:pPr>
              <w:rPr>
                <w:b/>
              </w:rPr>
            </w:pPr>
            <w:r w:rsidRPr="00BC55DC">
              <w:rPr>
                <w:b/>
              </w:rPr>
              <w:t>Lead</w:t>
            </w:r>
          </w:p>
        </w:tc>
        <w:tc>
          <w:tcPr>
            <w:tcW w:w="3496" w:type="dxa"/>
            <w:shd w:val="clear" w:color="auto" w:fill="FFFF00"/>
          </w:tcPr>
          <w:p w14:paraId="501D7D59" w14:textId="77777777" w:rsidR="005D2326" w:rsidRPr="00BC55DC" w:rsidRDefault="005D2326" w:rsidP="0024733B">
            <w:pPr>
              <w:rPr>
                <w:b/>
              </w:rPr>
            </w:pPr>
            <w:r w:rsidRPr="00BC55DC">
              <w:rPr>
                <w:b/>
              </w:rPr>
              <w:t>Status</w:t>
            </w:r>
          </w:p>
        </w:tc>
        <w:tc>
          <w:tcPr>
            <w:tcW w:w="5844" w:type="dxa"/>
            <w:shd w:val="clear" w:color="auto" w:fill="FFFF00"/>
          </w:tcPr>
          <w:p w14:paraId="165E95A7" w14:textId="77777777" w:rsidR="005D2326" w:rsidRPr="00BC55DC" w:rsidRDefault="005D2326" w:rsidP="0024733B">
            <w:pPr>
              <w:rPr>
                <w:b/>
              </w:rPr>
            </w:pPr>
            <w:r w:rsidRPr="00BC55DC">
              <w:rPr>
                <w:b/>
              </w:rPr>
              <w:t>Action</w:t>
            </w:r>
          </w:p>
        </w:tc>
      </w:tr>
      <w:tr w:rsidR="005D2326" w:rsidRPr="00BC55DC" w14:paraId="69F2E111" w14:textId="77777777" w:rsidTr="0024733B">
        <w:tc>
          <w:tcPr>
            <w:tcW w:w="2376" w:type="dxa"/>
          </w:tcPr>
          <w:p w14:paraId="2216DB90" w14:textId="77777777" w:rsidR="005D2326" w:rsidRPr="00BC55DC" w:rsidRDefault="005D2326" w:rsidP="0024733B">
            <w:r w:rsidRPr="00BC55DC">
              <w:t>GHS Supply</w:t>
            </w:r>
          </w:p>
        </w:tc>
        <w:tc>
          <w:tcPr>
            <w:tcW w:w="1418" w:type="dxa"/>
          </w:tcPr>
          <w:p w14:paraId="61F1DFEE" w14:textId="77777777" w:rsidR="005D2326" w:rsidRPr="00BC55DC" w:rsidRDefault="005D2326" w:rsidP="0024733B">
            <w:r w:rsidRPr="00BC55DC">
              <w:t>HSE GHS Stakeholder Meetings</w:t>
            </w:r>
          </w:p>
          <w:p w14:paraId="17288548" w14:textId="77777777" w:rsidR="005D2326" w:rsidRPr="00BC55DC" w:rsidRDefault="005D2326" w:rsidP="0024733B">
            <w:r w:rsidRPr="00BC55DC">
              <w:t>UNSCoEGHS</w:t>
            </w:r>
          </w:p>
        </w:tc>
        <w:tc>
          <w:tcPr>
            <w:tcW w:w="1276" w:type="dxa"/>
          </w:tcPr>
          <w:p w14:paraId="088DCA24" w14:textId="77777777" w:rsidR="005D2326" w:rsidRPr="00BC55DC" w:rsidRDefault="005D2326" w:rsidP="0024733B">
            <w:r w:rsidRPr="00BC55DC">
              <w:t>S Stewart</w:t>
            </w:r>
          </w:p>
        </w:tc>
        <w:tc>
          <w:tcPr>
            <w:tcW w:w="3496" w:type="dxa"/>
          </w:tcPr>
          <w:p w14:paraId="42907648" w14:textId="1E7845A1" w:rsidR="005D2326" w:rsidRPr="00BC55DC" w:rsidRDefault="005D2326" w:rsidP="0024733B"/>
        </w:tc>
        <w:tc>
          <w:tcPr>
            <w:tcW w:w="5844" w:type="dxa"/>
          </w:tcPr>
          <w:p w14:paraId="3B1692A1" w14:textId="77777777" w:rsidR="005D2326" w:rsidRPr="00BC55DC" w:rsidRDefault="005D2326" w:rsidP="0024733B">
            <w:r w:rsidRPr="00BC55DC">
              <w:t>1. Circulate biennium work plan (SS)</w:t>
            </w:r>
          </w:p>
          <w:p w14:paraId="6C040899" w14:textId="34BD0CEF" w:rsidR="005D2326" w:rsidRPr="00BC55DC" w:rsidRDefault="005D2326" w:rsidP="0024733B">
            <w:r w:rsidRPr="00BC55DC">
              <w:t>2. Highlight areas of interest (</w:t>
            </w:r>
            <w:r w:rsidR="00672988">
              <w:t>ARC</w:t>
            </w:r>
            <w:r w:rsidRPr="00BC55DC">
              <w:t>)</w:t>
            </w:r>
          </w:p>
          <w:p w14:paraId="71CAB4D0" w14:textId="77777777" w:rsidR="005D2326" w:rsidRPr="00BC55DC" w:rsidRDefault="005D2326" w:rsidP="0024733B">
            <w:r w:rsidRPr="00BC55DC">
              <w:t>3. Circulate applicable papers (SS)</w:t>
            </w:r>
          </w:p>
          <w:p w14:paraId="08878AAC" w14:textId="53A5EDF0" w:rsidR="005D2326" w:rsidRPr="00BC55DC" w:rsidRDefault="005D2326" w:rsidP="0024733B">
            <w:r w:rsidRPr="00BC55DC">
              <w:t>4. Provide feedback on papers prior to HSE/UN meetings (</w:t>
            </w:r>
            <w:r w:rsidR="00672988">
              <w:t>AR</w:t>
            </w:r>
            <w:r w:rsidRPr="00BC55DC">
              <w:t>C)</w:t>
            </w:r>
          </w:p>
          <w:p w14:paraId="52DFACBE" w14:textId="77777777" w:rsidR="005D2326" w:rsidRPr="00BC55DC" w:rsidRDefault="005D2326" w:rsidP="0024733B">
            <w:r w:rsidRPr="00BC55DC">
              <w:t>5. Attend HSE/UN meetings as appropriate (SS)</w:t>
            </w:r>
          </w:p>
        </w:tc>
      </w:tr>
      <w:tr w:rsidR="005D2326" w:rsidRPr="00BC55DC" w14:paraId="2773336A" w14:textId="77777777" w:rsidTr="0024733B">
        <w:tc>
          <w:tcPr>
            <w:tcW w:w="2376" w:type="dxa"/>
          </w:tcPr>
          <w:p w14:paraId="31FA4064" w14:textId="77777777" w:rsidR="005D2326" w:rsidRPr="00BC55DC" w:rsidRDefault="005D2326" w:rsidP="0024733B">
            <w:r w:rsidRPr="00BC55DC">
              <w:t>CLP</w:t>
            </w:r>
          </w:p>
        </w:tc>
        <w:tc>
          <w:tcPr>
            <w:tcW w:w="1418" w:type="dxa"/>
          </w:tcPr>
          <w:p w14:paraId="6884FF50" w14:textId="77777777" w:rsidR="005D2326" w:rsidRPr="00BC55DC" w:rsidRDefault="005D2326" w:rsidP="0024733B">
            <w:r w:rsidRPr="00BC55DC">
              <w:t>AISE CLP TF</w:t>
            </w:r>
          </w:p>
        </w:tc>
        <w:tc>
          <w:tcPr>
            <w:tcW w:w="1276" w:type="dxa"/>
          </w:tcPr>
          <w:p w14:paraId="514388BD" w14:textId="77777777" w:rsidR="005D2326" w:rsidRPr="00BC55DC" w:rsidRDefault="005D2326" w:rsidP="0024733B">
            <w:r w:rsidRPr="00BC55DC">
              <w:t>S Stewart</w:t>
            </w:r>
          </w:p>
        </w:tc>
        <w:tc>
          <w:tcPr>
            <w:tcW w:w="3496" w:type="dxa"/>
          </w:tcPr>
          <w:p w14:paraId="26E18AFC" w14:textId="77777777" w:rsidR="005D2326" w:rsidRPr="00BC55DC" w:rsidRDefault="005D2326" w:rsidP="0024733B">
            <w:r w:rsidRPr="00BC55DC">
              <w:t>Ongoing amendments through ATPs.</w:t>
            </w:r>
          </w:p>
          <w:p w14:paraId="359DB499" w14:textId="3C3CCB35" w:rsidR="005D2326" w:rsidRPr="00BC55DC" w:rsidRDefault="005D2326" w:rsidP="00D20127">
            <w:r w:rsidRPr="00BC55DC">
              <w:t>Report</w:t>
            </w:r>
            <w:r w:rsidR="00D20127">
              <w:t xml:space="preserve"> on harmonised reporting to PCC.</w:t>
            </w:r>
          </w:p>
        </w:tc>
        <w:tc>
          <w:tcPr>
            <w:tcW w:w="5844" w:type="dxa"/>
          </w:tcPr>
          <w:p w14:paraId="7E261D42" w14:textId="77777777" w:rsidR="005D2326" w:rsidRPr="00BC55DC" w:rsidRDefault="005D2326" w:rsidP="0024733B">
            <w:r w:rsidRPr="00BC55DC">
              <w:t>1. Attend CLP TF meetings and report back to Committee (SS)</w:t>
            </w:r>
          </w:p>
          <w:p w14:paraId="173D585A" w14:textId="77777777" w:rsidR="005D2326" w:rsidRPr="00BC55DC" w:rsidRDefault="005D2326" w:rsidP="0024733B">
            <w:r w:rsidRPr="00BC55DC">
              <w:t>2. Advise Members of changes via email, regional meetings, etc (SS)</w:t>
            </w:r>
          </w:p>
        </w:tc>
      </w:tr>
      <w:tr w:rsidR="005D2326" w:rsidRPr="00BC55DC" w14:paraId="39A12864" w14:textId="77777777" w:rsidTr="0024733B">
        <w:tc>
          <w:tcPr>
            <w:tcW w:w="2376" w:type="dxa"/>
          </w:tcPr>
          <w:p w14:paraId="7AE0E178" w14:textId="77777777" w:rsidR="005D2326" w:rsidRPr="00BC55DC" w:rsidRDefault="005D2326" w:rsidP="0024733B">
            <w:r w:rsidRPr="00BC55DC">
              <w:t>BPR</w:t>
            </w:r>
          </w:p>
        </w:tc>
        <w:tc>
          <w:tcPr>
            <w:tcW w:w="1418" w:type="dxa"/>
          </w:tcPr>
          <w:p w14:paraId="2036AFCF" w14:textId="77777777" w:rsidR="005D2326" w:rsidRPr="00BC55DC" w:rsidRDefault="005D2326" w:rsidP="0024733B">
            <w:r w:rsidRPr="00BC55DC">
              <w:t>AISE BPR WG</w:t>
            </w:r>
          </w:p>
        </w:tc>
        <w:tc>
          <w:tcPr>
            <w:tcW w:w="1276" w:type="dxa"/>
          </w:tcPr>
          <w:p w14:paraId="6D034B5F" w14:textId="77777777" w:rsidR="005D2326" w:rsidRPr="00BC55DC" w:rsidRDefault="005D2326" w:rsidP="0024733B">
            <w:r w:rsidRPr="00BC55DC">
              <w:t>R Furse</w:t>
            </w:r>
          </w:p>
        </w:tc>
        <w:tc>
          <w:tcPr>
            <w:tcW w:w="3496" w:type="dxa"/>
          </w:tcPr>
          <w:p w14:paraId="326F7E0A" w14:textId="77777777" w:rsidR="005D2326" w:rsidRPr="00BC55DC" w:rsidRDefault="005D2326" w:rsidP="0024733B">
            <w:r w:rsidRPr="00BC55DC">
              <w:t xml:space="preserve">Ongoing implemention, interpretation and guidance. </w:t>
            </w:r>
          </w:p>
        </w:tc>
        <w:tc>
          <w:tcPr>
            <w:tcW w:w="5844" w:type="dxa"/>
          </w:tcPr>
          <w:p w14:paraId="7A43094A" w14:textId="77777777" w:rsidR="005D2326" w:rsidRPr="00BC55DC" w:rsidRDefault="005D2326" w:rsidP="0024733B">
            <w:r w:rsidRPr="00BC55DC">
              <w:t>1. Attend AISE BPR WG meetings and report back to Committee (RF).</w:t>
            </w:r>
          </w:p>
          <w:p w14:paraId="78C85CE8" w14:textId="77777777" w:rsidR="005D2326" w:rsidRPr="00BC55DC" w:rsidRDefault="005D2326" w:rsidP="0024733B">
            <w:r w:rsidRPr="00BC55DC">
              <w:t>2. Advise Members of developments via email, Regional Meetings, etc (RF/SS)</w:t>
            </w:r>
          </w:p>
        </w:tc>
      </w:tr>
      <w:tr w:rsidR="005D2326" w:rsidRPr="00BC55DC" w14:paraId="49D8E6C6" w14:textId="77777777" w:rsidTr="0024733B">
        <w:tc>
          <w:tcPr>
            <w:tcW w:w="2376" w:type="dxa"/>
          </w:tcPr>
          <w:p w14:paraId="769764C2" w14:textId="77777777" w:rsidR="005D2326" w:rsidRPr="00BC55DC" w:rsidRDefault="005D2326" w:rsidP="0024733B">
            <w:r w:rsidRPr="00BC55DC">
              <w:t>Detergent Regulations</w:t>
            </w:r>
          </w:p>
        </w:tc>
        <w:tc>
          <w:tcPr>
            <w:tcW w:w="1418" w:type="dxa"/>
          </w:tcPr>
          <w:p w14:paraId="29015DEA" w14:textId="77777777" w:rsidR="005D2326" w:rsidRPr="00BC55DC" w:rsidRDefault="005D2326" w:rsidP="0024733B">
            <w:r w:rsidRPr="00BC55DC">
              <w:t>AISE Detergents WG</w:t>
            </w:r>
          </w:p>
        </w:tc>
        <w:tc>
          <w:tcPr>
            <w:tcW w:w="1276" w:type="dxa"/>
          </w:tcPr>
          <w:p w14:paraId="347CA22A" w14:textId="77777777" w:rsidR="005D2326" w:rsidRPr="00BC55DC" w:rsidRDefault="005D2326" w:rsidP="0024733B">
            <w:r w:rsidRPr="00BC55DC">
              <w:t>S Stewart</w:t>
            </w:r>
          </w:p>
        </w:tc>
        <w:tc>
          <w:tcPr>
            <w:tcW w:w="3496" w:type="dxa"/>
          </w:tcPr>
          <w:p w14:paraId="2C65FC07" w14:textId="77777777" w:rsidR="005D2326" w:rsidRPr="00BC55DC" w:rsidRDefault="005D2326" w:rsidP="0024733B">
            <w:r w:rsidRPr="00BC55DC">
              <w:t>Implementation of P retrictions in CADD and impact of fragrance allergens.</w:t>
            </w:r>
          </w:p>
        </w:tc>
        <w:tc>
          <w:tcPr>
            <w:tcW w:w="5844" w:type="dxa"/>
          </w:tcPr>
          <w:p w14:paraId="5F82590E" w14:textId="77777777" w:rsidR="005D2326" w:rsidRPr="00BC55DC" w:rsidRDefault="005D2326" w:rsidP="0024733B">
            <w:r w:rsidRPr="00BC55DC">
              <w:t>1. Monitor developments as paper member of AISE Detergent WG and report back to Committee (SS)</w:t>
            </w:r>
          </w:p>
          <w:p w14:paraId="269F56FD" w14:textId="77777777" w:rsidR="005D2326" w:rsidRPr="00BC55DC" w:rsidRDefault="005D2326" w:rsidP="0024733B">
            <w:r w:rsidRPr="00BC55DC">
              <w:t>2. Advise Members of changes via email, Regional Meetings, etc (SS)</w:t>
            </w:r>
          </w:p>
        </w:tc>
      </w:tr>
      <w:tr w:rsidR="005D2326" w:rsidRPr="00BC55DC" w14:paraId="542A9DAF" w14:textId="77777777" w:rsidTr="0024733B">
        <w:tc>
          <w:tcPr>
            <w:tcW w:w="2376" w:type="dxa"/>
          </w:tcPr>
          <w:p w14:paraId="0DFB6323" w14:textId="77777777" w:rsidR="005D2326" w:rsidRPr="00BC55DC" w:rsidRDefault="005D2326" w:rsidP="0024733B">
            <w:r w:rsidRPr="00BC55DC">
              <w:lastRenderedPageBreak/>
              <w:t>Professional Cleaning &amp; Hygiene Sector</w:t>
            </w:r>
          </w:p>
        </w:tc>
        <w:tc>
          <w:tcPr>
            <w:tcW w:w="1418" w:type="dxa"/>
          </w:tcPr>
          <w:p w14:paraId="0016EA05" w14:textId="77777777" w:rsidR="005D2326" w:rsidRPr="00BC55DC" w:rsidRDefault="005D2326" w:rsidP="0024733B"/>
        </w:tc>
        <w:tc>
          <w:tcPr>
            <w:tcW w:w="1276" w:type="dxa"/>
          </w:tcPr>
          <w:p w14:paraId="0A1C6D0E" w14:textId="7067FF5C" w:rsidR="005D2326" w:rsidRPr="00BC55DC" w:rsidRDefault="00FE36A0" w:rsidP="0024733B">
            <w:r>
              <w:t>P Woodhead</w:t>
            </w:r>
          </w:p>
        </w:tc>
        <w:tc>
          <w:tcPr>
            <w:tcW w:w="3496" w:type="dxa"/>
          </w:tcPr>
          <w:p w14:paraId="7F905E24" w14:textId="77777777" w:rsidR="005D2326" w:rsidRPr="00BC55DC" w:rsidRDefault="005D2326" w:rsidP="0024733B">
            <w:r w:rsidRPr="00BC55DC">
              <w:t>Potential for different impacts on PC&amp;HS due to e.g. formulations, pack size, etc.</w:t>
            </w:r>
          </w:p>
        </w:tc>
        <w:tc>
          <w:tcPr>
            <w:tcW w:w="5844" w:type="dxa"/>
          </w:tcPr>
          <w:p w14:paraId="60789171" w14:textId="77777777" w:rsidR="005D2326" w:rsidRPr="00BC55DC" w:rsidRDefault="005D2326" w:rsidP="0024733B">
            <w:r w:rsidRPr="00BC55DC">
              <w:t>1. Monitor developments and report to Committee as appropriate (TBC)</w:t>
            </w:r>
          </w:p>
          <w:p w14:paraId="0C708853" w14:textId="77777777" w:rsidR="005D2326" w:rsidRPr="00BC55DC" w:rsidRDefault="005D2326" w:rsidP="0024733B"/>
        </w:tc>
      </w:tr>
    </w:tbl>
    <w:p w14:paraId="1638A81F" w14:textId="77777777" w:rsidR="005D2326" w:rsidRPr="00BC55DC" w:rsidRDefault="005D2326" w:rsidP="005D2326"/>
    <w:p w14:paraId="16967246" w14:textId="77777777" w:rsidR="005D2326" w:rsidRPr="00BC55DC" w:rsidRDefault="005D2326"/>
    <w:p w14:paraId="24AAA612" w14:textId="77777777" w:rsidR="005A1721" w:rsidRPr="00BC55DC" w:rsidRDefault="005A1721"/>
    <w:p w14:paraId="41B1D4AF" w14:textId="77777777" w:rsidR="005A1721" w:rsidRPr="00BC55DC" w:rsidRDefault="005A1721"/>
    <w:p w14:paraId="5E3916BD" w14:textId="77777777" w:rsidR="005A1721" w:rsidRDefault="005A1721"/>
    <w:p w14:paraId="166CED6E" w14:textId="77777777" w:rsidR="00BF0045" w:rsidRDefault="00BF0045"/>
    <w:p w14:paraId="6BDD48B7" w14:textId="77777777" w:rsidR="00BF0045" w:rsidRDefault="00BF0045"/>
    <w:p w14:paraId="233B89E0" w14:textId="77777777" w:rsidR="00BF0045" w:rsidRDefault="00BF0045"/>
    <w:p w14:paraId="3E2529EC" w14:textId="77777777" w:rsidR="00BF0045" w:rsidRDefault="00BF0045"/>
    <w:p w14:paraId="32C60A84" w14:textId="77777777" w:rsidR="00BF0045" w:rsidRDefault="00BF0045"/>
    <w:p w14:paraId="728E443D" w14:textId="77777777" w:rsidR="00BF0045" w:rsidRDefault="00BF0045"/>
    <w:p w14:paraId="56DCD3A4" w14:textId="77777777" w:rsidR="00BF0045" w:rsidRDefault="00BF0045"/>
    <w:p w14:paraId="70B0219A" w14:textId="77777777" w:rsidR="00BF0045" w:rsidRPr="00BC55DC" w:rsidRDefault="00BF0045"/>
    <w:p w14:paraId="4F2A3058" w14:textId="77777777" w:rsidR="005A1721" w:rsidRPr="00BC55DC" w:rsidRDefault="005A1721"/>
    <w:tbl>
      <w:tblPr>
        <w:tblW w:w="14630" w:type="dxa"/>
        <w:tblInd w:w="173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3827"/>
        <w:gridCol w:w="1701"/>
        <w:gridCol w:w="4424"/>
      </w:tblGrid>
      <w:tr w:rsidR="005A1721" w:rsidRPr="00BC55DC" w14:paraId="1AD88E94" w14:textId="77777777" w:rsidTr="0024733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7816" w14:textId="77777777" w:rsidR="005A1721" w:rsidRPr="00BC55DC" w:rsidRDefault="005A1721" w:rsidP="0024733B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C55DC">
              <w:rPr>
                <w:rFonts w:cs="Arial"/>
                <w:b/>
                <w:bCs/>
                <w:i/>
                <w:iCs/>
                <w:sz w:val="20"/>
                <w:szCs w:val="20"/>
              </w:rPr>
              <w:lastRenderedPageBreak/>
              <w:t>Core Areas &amp; Activities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AED8" w14:textId="77777777" w:rsidR="005A1721" w:rsidRPr="00BC55DC" w:rsidRDefault="005A1721" w:rsidP="0024733B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C55DC">
              <w:rPr>
                <w:rFonts w:cs="Arial"/>
                <w:b/>
                <w:bCs/>
                <w:i/>
                <w:iCs/>
                <w:sz w:val="20"/>
                <w:szCs w:val="20"/>
              </w:rPr>
              <w:t>Support required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7FEA" w14:textId="77777777" w:rsidR="005A1721" w:rsidRPr="00BC55DC" w:rsidRDefault="005A1721" w:rsidP="0024733B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C55DC">
              <w:rPr>
                <w:rFonts w:cs="Arial"/>
                <w:b/>
                <w:bCs/>
                <w:i/>
                <w:iCs/>
                <w:sz w:val="20"/>
                <w:szCs w:val="20"/>
              </w:rPr>
              <w:t>Responsibility/</w:t>
            </w:r>
          </w:p>
          <w:p w14:paraId="4DDC2021" w14:textId="77777777" w:rsidR="005A1721" w:rsidRPr="00BC55DC" w:rsidRDefault="005A1721" w:rsidP="0024733B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C55DC">
              <w:rPr>
                <w:rFonts w:cs="Arial"/>
                <w:b/>
                <w:bCs/>
                <w:i/>
                <w:iCs/>
                <w:sz w:val="20"/>
                <w:szCs w:val="20"/>
              </w:rPr>
              <w:t>representative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6FF4" w14:textId="77777777" w:rsidR="005A1721" w:rsidRPr="00BC55DC" w:rsidRDefault="005A1721" w:rsidP="0024733B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C55DC">
              <w:rPr>
                <w:rFonts w:cs="Arial"/>
                <w:b/>
                <w:bCs/>
                <w:i/>
                <w:iCs/>
                <w:sz w:val="20"/>
                <w:szCs w:val="20"/>
              </w:rPr>
              <w:t>Action/ status</w:t>
            </w:r>
          </w:p>
        </w:tc>
      </w:tr>
      <w:tr w:rsidR="005A1721" w:rsidRPr="00BC55DC" w14:paraId="0B7B31E5" w14:textId="77777777" w:rsidTr="0024733B">
        <w:trPr>
          <w:trHeight w:val="255"/>
        </w:trPr>
        <w:tc>
          <w:tcPr>
            <w:tcW w:w="14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E27A51" w14:textId="60BC4F2D" w:rsidR="005A1721" w:rsidRPr="00BC55DC" w:rsidRDefault="004A4F72" w:rsidP="004A4F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 xml:space="preserve">Communications </w:t>
            </w:r>
            <w:r w:rsidR="00FA7D94">
              <w:rPr>
                <w:rFonts w:cs="Arial"/>
                <w:b/>
                <w:bCs/>
                <w:sz w:val="40"/>
                <w:szCs w:val="40"/>
              </w:rPr>
              <w:t>–</w:t>
            </w:r>
            <w:r>
              <w:rPr>
                <w:rFonts w:cs="Arial"/>
                <w:b/>
                <w:bCs/>
                <w:sz w:val="40"/>
                <w:szCs w:val="40"/>
              </w:rPr>
              <w:t xml:space="preserve"> influence</w:t>
            </w:r>
          </w:p>
        </w:tc>
      </w:tr>
      <w:tr w:rsidR="005A1721" w:rsidRPr="004A4F72" w14:paraId="75DB4C3E" w14:textId="77777777" w:rsidTr="00DB3A44">
        <w:trPr>
          <w:trHeight w:val="16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5E813" w14:textId="77777777" w:rsidR="005A1721" w:rsidRPr="004A4F72" w:rsidRDefault="005A1721" w:rsidP="005A1721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</w:rPr>
              <w:t xml:space="preserve">Manage a radar screen of </w:t>
            </w:r>
            <w:r w:rsidRPr="004A4F72">
              <w:rPr>
                <w:rFonts w:cs="Arial"/>
                <w:b/>
              </w:rPr>
              <w:t>potential issues</w:t>
            </w:r>
            <w:r w:rsidRPr="004A4F72">
              <w:rPr>
                <w:rFonts w:cs="Arial"/>
              </w:rPr>
              <w:t xml:space="preserve"> and maintain issues tracking and outreach plan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14E39F" w14:textId="6BDBD59B" w:rsidR="005A1721" w:rsidRPr="004A4F72" w:rsidRDefault="004A4F72" w:rsidP="0024733B">
            <w:pPr>
              <w:rPr>
                <w:rFonts w:cs="Arial"/>
              </w:rPr>
            </w:pPr>
            <w:r>
              <w:rPr>
                <w:rFonts w:cs="Arial"/>
              </w:rPr>
              <w:t>ARC</w:t>
            </w:r>
            <w:r w:rsidR="005A1721" w:rsidRPr="004A4F72">
              <w:rPr>
                <w:rFonts w:cs="Arial"/>
              </w:rPr>
              <w:t xml:space="preserve"> / AISE </w:t>
            </w:r>
            <w:r w:rsidR="007B7B30">
              <w:rPr>
                <w:rFonts w:cs="Arial"/>
              </w:rPr>
              <w:t>/ACI</w:t>
            </w:r>
          </w:p>
          <w:p w14:paraId="5F6D5497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External stakeholders</w:t>
            </w:r>
          </w:p>
          <w:p w14:paraId="005316D3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 xml:space="preserve">Member company experts </w:t>
            </w:r>
          </w:p>
          <w:p w14:paraId="0E9F5AB2" w14:textId="77777777" w:rsidR="005A1721" w:rsidRPr="004A4F72" w:rsidRDefault="005A1721" w:rsidP="0024733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7216E" w14:textId="77777777" w:rsidR="005A1721" w:rsidRPr="004A4F72" w:rsidRDefault="005A1721" w:rsidP="0024733B">
            <w:pPr>
              <w:ind w:left="13"/>
              <w:rPr>
                <w:rFonts w:cs="Arial"/>
              </w:rPr>
            </w:pPr>
            <w:r w:rsidRPr="004A4F72">
              <w:rPr>
                <w:rFonts w:cs="Arial"/>
              </w:rPr>
              <w:t xml:space="preserve">JP / </w:t>
            </w:r>
            <w:r w:rsidR="004A4F72">
              <w:rPr>
                <w:rFonts w:cs="Arial"/>
              </w:rPr>
              <w:t>ARC</w:t>
            </w:r>
          </w:p>
          <w:p w14:paraId="197A34BD" w14:textId="77777777" w:rsidR="005A1721" w:rsidRPr="004A4F72" w:rsidRDefault="005A1721" w:rsidP="0024733B">
            <w:pPr>
              <w:ind w:left="13"/>
              <w:rPr>
                <w:rFonts w:cs="Aria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045F00A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Issues identified, detailed stakeholder plans created for each and messages prepared</w:t>
            </w:r>
          </w:p>
          <w:p w14:paraId="16167035" w14:textId="77777777" w:rsidR="005A1721" w:rsidRPr="004A4F72" w:rsidRDefault="005A1721" w:rsidP="0024733B">
            <w:pPr>
              <w:rPr>
                <w:rFonts w:cs="Arial"/>
              </w:rPr>
            </w:pPr>
          </w:p>
        </w:tc>
      </w:tr>
      <w:tr w:rsidR="005A1721" w:rsidRPr="004A4F72" w14:paraId="3D6583F8" w14:textId="77777777" w:rsidTr="0024733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8E09E" w14:textId="77777777" w:rsidR="005A1721" w:rsidRPr="004A4F72" w:rsidRDefault="005A1721" w:rsidP="005A1721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</w:rPr>
              <w:t xml:space="preserve">Through meetings and briefings, build and maintain </w:t>
            </w:r>
            <w:r w:rsidRPr="004A4F72">
              <w:rPr>
                <w:rFonts w:cs="Arial"/>
                <w:b/>
              </w:rPr>
              <w:t>an informed</w:t>
            </w:r>
            <w:r w:rsidRPr="004A4F72">
              <w:rPr>
                <w:rFonts w:cs="Arial"/>
              </w:rPr>
              <w:t xml:space="preserve"> (and ideally supportive) </w:t>
            </w:r>
            <w:r w:rsidRPr="004A4F72">
              <w:rPr>
                <w:rFonts w:cs="Arial"/>
                <w:b/>
              </w:rPr>
              <w:t>network</w:t>
            </w:r>
            <w:r w:rsidRPr="004A4F72">
              <w:rPr>
                <w:rFonts w:cs="Arial"/>
              </w:rPr>
              <w:t xml:space="preserve"> of individuals, officials and organisations whose opinions matter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9DF9D1" w14:textId="77777777" w:rsidR="005A1721" w:rsidRPr="004A4F72" w:rsidRDefault="005A1721" w:rsidP="0024733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5C0D6" w14:textId="77777777" w:rsidR="005A1721" w:rsidRPr="004A4F72" w:rsidRDefault="005A1721" w:rsidP="004A4F72">
            <w:pPr>
              <w:ind w:left="13"/>
              <w:rPr>
                <w:rFonts w:cs="Arial"/>
              </w:rPr>
            </w:pPr>
            <w:r w:rsidRPr="004A4F72">
              <w:rPr>
                <w:rFonts w:cs="Arial"/>
              </w:rPr>
              <w:t xml:space="preserve">PM / </w:t>
            </w:r>
            <w:r w:rsidR="004A4F72">
              <w:rPr>
                <w:rFonts w:cs="Arial"/>
              </w:rPr>
              <w:t>ARC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439985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Ongoing calendar of meetings with specific agenda with Govt departments and stakeholders</w:t>
            </w:r>
          </w:p>
        </w:tc>
      </w:tr>
      <w:tr w:rsidR="005A1721" w:rsidRPr="004A4F72" w14:paraId="2358CC18" w14:textId="77777777" w:rsidTr="0024733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49649" w14:textId="77777777" w:rsidR="005A1721" w:rsidRPr="004A4F72" w:rsidRDefault="005A1721" w:rsidP="005A1721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</w:rPr>
              <w:t xml:space="preserve">Identify third party </w:t>
            </w:r>
            <w:r w:rsidRPr="004A4F72">
              <w:rPr>
                <w:rFonts w:cs="Arial"/>
                <w:b/>
              </w:rPr>
              <w:t>'industry champions'</w:t>
            </w:r>
            <w:r w:rsidRPr="004A4F72">
              <w:rPr>
                <w:rFonts w:cs="Aria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B865C84" w14:textId="77777777" w:rsidR="005A1721" w:rsidRPr="004A4F72" w:rsidRDefault="004A4F72" w:rsidP="004A4F72">
            <w:pPr>
              <w:rPr>
                <w:rFonts w:cs="Arial"/>
              </w:rPr>
            </w:pPr>
            <w:r>
              <w:rPr>
                <w:rFonts w:cs="Arial"/>
              </w:rPr>
              <w:t>ARC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8004D" w14:textId="77777777" w:rsidR="005A1721" w:rsidRPr="004A4F72" w:rsidRDefault="005A1721" w:rsidP="0024733B">
            <w:pPr>
              <w:ind w:left="13"/>
              <w:rPr>
                <w:rFonts w:cs="Arial"/>
              </w:rPr>
            </w:pPr>
            <w:r w:rsidRPr="004A4F72">
              <w:rPr>
                <w:rFonts w:cs="Arial"/>
              </w:rPr>
              <w:t>PM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508DB2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Participate in SAS, SMC and APMG events; this remains a major challenge</w:t>
            </w:r>
          </w:p>
        </w:tc>
      </w:tr>
      <w:tr w:rsidR="005A1721" w:rsidRPr="004A4F72" w14:paraId="054F8784" w14:textId="77777777" w:rsidTr="0024733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A73E3" w14:textId="77777777" w:rsidR="005A1721" w:rsidRPr="004A4F72" w:rsidRDefault="005A1721" w:rsidP="005A1721">
            <w:pPr>
              <w:numPr>
                <w:ilvl w:val="0"/>
                <w:numId w:val="3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</w:rPr>
              <w:t xml:space="preserve">Work proactively with </w:t>
            </w:r>
            <w:r w:rsidRPr="004A4F72">
              <w:rPr>
                <w:rFonts w:cs="Arial"/>
                <w:b/>
              </w:rPr>
              <w:t>other downstream user</w:t>
            </w:r>
            <w:r w:rsidRPr="004A4F72">
              <w:rPr>
                <w:rFonts w:cs="Arial"/>
              </w:rPr>
              <w:t xml:space="preserve"> groups / associations to build scale, coordinate activities and share resources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5C83A9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Alliance of Chemical Associations (ACA)</w:t>
            </w:r>
          </w:p>
          <w:p w14:paraId="5833CD13" w14:textId="77777777" w:rsidR="005A1721" w:rsidRPr="004A4F72" w:rsidRDefault="005A1721" w:rsidP="0024733B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F3435" w14:textId="77777777" w:rsidR="005A1721" w:rsidRPr="004A4F72" w:rsidRDefault="005A1721" w:rsidP="0024733B">
            <w:pPr>
              <w:ind w:left="13"/>
              <w:rPr>
                <w:rFonts w:cs="Arial"/>
              </w:rPr>
            </w:pPr>
            <w:r w:rsidRPr="004A4F72">
              <w:rPr>
                <w:rFonts w:cs="Arial"/>
              </w:rPr>
              <w:t>PM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792BB15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Exploit ACA strength on shared issues</w:t>
            </w:r>
          </w:p>
          <w:p w14:paraId="131FE8B4" w14:textId="77777777" w:rsidR="005A1721" w:rsidRPr="004A4F72" w:rsidRDefault="005A1721" w:rsidP="0024733B">
            <w:pPr>
              <w:rPr>
                <w:rFonts w:cs="Arial"/>
              </w:rPr>
            </w:pPr>
          </w:p>
          <w:p w14:paraId="4A2EED39" w14:textId="2D6B0A1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 xml:space="preserve">Also work with downstream users’ external affairs staff (BAMA, CTPA, BFA, BACS, CIA) on issues of shared concern (e.g.: </w:t>
            </w:r>
            <w:r w:rsidR="004A4F72">
              <w:rPr>
                <w:rFonts w:cs="Arial"/>
              </w:rPr>
              <w:t xml:space="preserve">Brexit, </w:t>
            </w:r>
            <w:r w:rsidRPr="004A4F72">
              <w:rPr>
                <w:rFonts w:cs="Arial"/>
              </w:rPr>
              <w:lastRenderedPageBreak/>
              <w:t xml:space="preserve">allergens, </w:t>
            </w:r>
            <w:r w:rsidR="00E17347">
              <w:rPr>
                <w:rFonts w:cs="Arial"/>
              </w:rPr>
              <w:t xml:space="preserve">Preservaties, </w:t>
            </w:r>
            <w:r w:rsidRPr="004A4F72">
              <w:rPr>
                <w:rFonts w:cs="Arial"/>
              </w:rPr>
              <w:t>public perception of chemicals)</w:t>
            </w:r>
          </w:p>
        </w:tc>
      </w:tr>
    </w:tbl>
    <w:p w14:paraId="570E8454" w14:textId="77777777" w:rsidR="005A1721" w:rsidRPr="004A4F72" w:rsidRDefault="005A1721" w:rsidP="005A1721">
      <w:r w:rsidRPr="004A4F72">
        <w:lastRenderedPageBreak/>
        <w:br w:type="page"/>
      </w:r>
    </w:p>
    <w:tbl>
      <w:tblPr>
        <w:tblW w:w="14650" w:type="dxa"/>
        <w:tblInd w:w="113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3866"/>
        <w:gridCol w:w="1701"/>
        <w:gridCol w:w="4405"/>
      </w:tblGrid>
      <w:tr w:rsidR="005A1721" w:rsidRPr="00BC55DC" w14:paraId="4BD9BA4D" w14:textId="77777777" w:rsidTr="005A1721">
        <w:trPr>
          <w:trHeight w:val="444"/>
        </w:trPr>
        <w:tc>
          <w:tcPr>
            <w:tcW w:w="1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F77F41" w14:textId="77777777" w:rsidR="005A1721" w:rsidRPr="004A4F72" w:rsidRDefault="004A4F72" w:rsidP="0024733B">
            <w:pPr>
              <w:rPr>
                <w:rFonts w:cs="Arial"/>
                <w:sz w:val="40"/>
                <w:szCs w:val="40"/>
              </w:rPr>
            </w:pPr>
            <w:bookmarkStart w:id="0" w:name="_Hlk502838956"/>
            <w:r>
              <w:rPr>
                <w:rFonts w:cs="Arial"/>
                <w:b/>
                <w:bCs/>
                <w:sz w:val="40"/>
                <w:szCs w:val="40"/>
              </w:rPr>
              <w:lastRenderedPageBreak/>
              <w:t>Communications</w:t>
            </w:r>
            <w:r w:rsidRPr="004A4F72">
              <w:rPr>
                <w:rFonts w:cs="Arial"/>
                <w:b/>
                <w:bCs/>
                <w:sz w:val="40"/>
                <w:szCs w:val="40"/>
              </w:rPr>
              <w:t xml:space="preserve"> - </w:t>
            </w:r>
            <w:r w:rsidR="005A1721" w:rsidRPr="004A4F72">
              <w:rPr>
                <w:rFonts w:cs="Arial"/>
                <w:b/>
                <w:bCs/>
                <w:sz w:val="40"/>
                <w:szCs w:val="40"/>
              </w:rPr>
              <w:t>Public Relations</w:t>
            </w:r>
            <w:bookmarkEnd w:id="0"/>
            <w:r w:rsidR="005A1721" w:rsidRPr="004A4F72">
              <w:rPr>
                <w:rFonts w:cs="Arial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0B4B4" wp14:editId="40E112F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209550" cy="0"/>
                      <wp:effectExtent l="6350" t="0" r="0" b="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95FFB" id="Oval 7" o:spid="_x0000_s1026" style="position:absolute;margin-left:10.5pt;margin-top:0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" fillcolor="#f90" stroked="f"/>
                  </w:pict>
                </mc:Fallback>
              </mc:AlternateContent>
            </w:r>
            <w:r w:rsidR="005A1721" w:rsidRPr="004A4F72">
              <w:rPr>
                <w:rFonts w:cs="Arial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162B4" wp14:editId="6B54461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209550" cy="0"/>
                      <wp:effectExtent l="3175" t="0" r="3175" b="0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7B2C3" id="Oval 19" o:spid="_x0000_s1026" style="position:absolute;margin-left:11.25pt;margin-top:0;width: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" fillcolor="red" stroked="f"/>
                  </w:pict>
                </mc:Fallback>
              </mc:AlternateContent>
            </w:r>
          </w:p>
        </w:tc>
      </w:tr>
      <w:tr w:rsidR="005A1721" w:rsidRPr="00BC55DC" w14:paraId="56FB6477" w14:textId="77777777" w:rsidTr="0024733B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D0611" w14:textId="77777777" w:rsidR="005A1721" w:rsidRPr="004A4F72" w:rsidRDefault="005A1721" w:rsidP="005A1721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</w:rPr>
              <w:t xml:space="preserve">Give timely </w:t>
            </w:r>
            <w:r w:rsidRPr="004A4F72">
              <w:rPr>
                <w:rFonts w:cs="Arial"/>
                <w:b/>
              </w:rPr>
              <w:t>advice and information</w:t>
            </w:r>
            <w:r w:rsidRPr="004A4F72">
              <w:rPr>
                <w:rFonts w:cs="Arial"/>
              </w:rPr>
              <w:t xml:space="preserve"> to public enquiries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EC22C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Secretariat database of positions, statements, past responses, FAQs, third party contributors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BDF8A" w14:textId="77777777" w:rsidR="005A1721" w:rsidRPr="004A4F72" w:rsidRDefault="004A4F72" w:rsidP="0024733B">
            <w:pPr>
              <w:rPr>
                <w:rFonts w:cs="Arial"/>
              </w:rPr>
            </w:pPr>
            <w:r>
              <w:rPr>
                <w:rFonts w:cs="Arial"/>
              </w:rPr>
              <w:t>ARC</w:t>
            </w:r>
            <w:r w:rsidR="005A1721" w:rsidRPr="004A4F72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CS</w:t>
            </w:r>
            <w:r w:rsidR="005A1721" w:rsidRPr="004A4F72">
              <w:rPr>
                <w:rFonts w:cs="Arial"/>
              </w:rPr>
              <w:t xml:space="preserve"> / KD</w:t>
            </w:r>
          </w:p>
          <w:p w14:paraId="025B648A" w14:textId="77777777" w:rsidR="005A1721" w:rsidRPr="004A4F72" w:rsidRDefault="005A1721" w:rsidP="0024733B">
            <w:pPr>
              <w:rPr>
                <w:rFonts w:cs="Arial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CA67B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Maintain log to record incoming enquiries and responses</w:t>
            </w:r>
          </w:p>
        </w:tc>
      </w:tr>
      <w:tr w:rsidR="005A1721" w:rsidRPr="00BC55DC" w14:paraId="4C1EB6C9" w14:textId="77777777" w:rsidTr="0024733B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A0CC2" w14:textId="77777777" w:rsidR="005A1721" w:rsidRPr="004A4F72" w:rsidRDefault="005A1721" w:rsidP="005A1721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  <w:b/>
              </w:rPr>
              <w:t>Monitor</w:t>
            </w:r>
            <w:r w:rsidRPr="004A4F72">
              <w:rPr>
                <w:rFonts w:cs="Arial"/>
              </w:rPr>
              <w:t xml:space="preserve"> media for relevant coverage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8227B" w14:textId="77777777" w:rsidR="005A1721" w:rsidRPr="004A4F72" w:rsidRDefault="005A1721" w:rsidP="0024733B">
            <w:pPr>
              <w:ind w:left="222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F7E68" w14:textId="77777777" w:rsidR="005A1721" w:rsidRPr="004A4F72" w:rsidRDefault="004A4F72" w:rsidP="004A4F72">
            <w:pPr>
              <w:rPr>
                <w:rFonts w:cs="Arial"/>
              </w:rPr>
            </w:pPr>
            <w:r>
              <w:rPr>
                <w:rFonts w:cs="Arial"/>
              </w:rPr>
              <w:t>CS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13EB0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Media responses handled in-house</w:t>
            </w:r>
          </w:p>
        </w:tc>
      </w:tr>
      <w:tr w:rsidR="005A1721" w:rsidRPr="00BC55DC" w14:paraId="28CB42F6" w14:textId="77777777" w:rsidTr="0024733B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7167C" w14:textId="77777777" w:rsidR="005A1721" w:rsidRPr="004A4F72" w:rsidRDefault="005A1721" w:rsidP="005A1721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</w:rPr>
              <w:t xml:space="preserve">Maintain a </w:t>
            </w:r>
            <w:r w:rsidRPr="004A4F72">
              <w:rPr>
                <w:rFonts w:cs="Arial"/>
                <w:b/>
              </w:rPr>
              <w:t>capability to respond quickly</w:t>
            </w:r>
            <w:r w:rsidRPr="004A4F72">
              <w:rPr>
                <w:rFonts w:cs="Arial"/>
              </w:rPr>
              <w:t xml:space="preserve"> to adverse media/public comment or opinion</w:t>
            </w:r>
          </w:p>
          <w:p w14:paraId="1506683E" w14:textId="77777777" w:rsidR="005A1721" w:rsidRPr="004A4F72" w:rsidRDefault="005A1721" w:rsidP="0024733B">
            <w:pPr>
              <w:ind w:left="168"/>
              <w:rPr>
                <w:rFonts w:cs="Aria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9DA28" w14:textId="77777777" w:rsidR="005A1721" w:rsidRPr="004A4F72" w:rsidRDefault="004A4F72" w:rsidP="0024733B">
            <w:pPr>
              <w:rPr>
                <w:rFonts w:cs="Arial"/>
              </w:rPr>
            </w:pPr>
            <w:r>
              <w:rPr>
                <w:rFonts w:cs="Arial"/>
              </w:rPr>
              <w:t>ARC</w:t>
            </w:r>
          </w:p>
          <w:p w14:paraId="0D92FCE3" w14:textId="77777777" w:rsidR="005A1721" w:rsidRPr="004A4F72" w:rsidRDefault="005A1721" w:rsidP="0024733B">
            <w:pPr>
              <w:ind w:left="222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C4776" w14:textId="77777777" w:rsidR="005A1721" w:rsidRPr="004A4F72" w:rsidRDefault="004A4F72" w:rsidP="004A4F72">
            <w:pPr>
              <w:rPr>
                <w:rFonts w:cs="Arial"/>
              </w:rPr>
            </w:pPr>
            <w:r>
              <w:rPr>
                <w:rFonts w:cs="Arial"/>
              </w:rPr>
              <w:t>CS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E6026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Continually review against external interest</w:t>
            </w:r>
          </w:p>
        </w:tc>
      </w:tr>
      <w:tr w:rsidR="005A1721" w:rsidRPr="00BC55DC" w14:paraId="021B0393" w14:textId="77777777" w:rsidTr="0024733B">
        <w:trPr>
          <w:trHeight w:val="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490D7" w14:textId="1EA80ED5" w:rsidR="005A1721" w:rsidRPr="004A4F72" w:rsidRDefault="008A7167" w:rsidP="005A1721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="005A1721" w:rsidRPr="004A4F72">
              <w:rPr>
                <w:rFonts w:cs="Arial"/>
              </w:rPr>
              <w:t xml:space="preserve"> content on both </w:t>
            </w:r>
            <w:r w:rsidR="005A1721" w:rsidRPr="004A4F72">
              <w:rPr>
                <w:rFonts w:cs="Arial"/>
                <w:color w:val="4F81BD"/>
                <w:u w:val="single"/>
              </w:rPr>
              <w:t>www.ukcpi.org</w:t>
            </w:r>
            <w:r w:rsidR="005A1721" w:rsidRPr="004A4F72">
              <w:rPr>
                <w:rFonts w:cs="Arial"/>
              </w:rPr>
              <w:t xml:space="preserve"> and </w:t>
            </w:r>
            <w:hyperlink r:id="rId7" w:history="1">
              <w:r w:rsidR="005A1721" w:rsidRPr="004A4F72">
                <w:rPr>
                  <w:rStyle w:val="Hyperlink"/>
                  <w:rFonts w:cs="Arial"/>
                </w:rPr>
                <w:t>www.professionalcleaning.org</w:t>
              </w:r>
            </w:hyperlink>
            <w:r w:rsidR="005A1721" w:rsidRPr="004A4F72">
              <w:rPr>
                <w:rFonts w:cs="Arial"/>
              </w:rPr>
              <w:t xml:space="preserve"> and extend their promotion and search ranking</w:t>
            </w:r>
          </w:p>
          <w:p w14:paraId="2DC547CC" w14:textId="77777777" w:rsidR="005A1721" w:rsidRPr="004A4F72" w:rsidRDefault="005A1721" w:rsidP="0024733B">
            <w:pPr>
              <w:ind w:left="168"/>
              <w:rPr>
                <w:rFonts w:cs="Aria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01FB9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 xml:space="preserve">Support required from </w:t>
            </w:r>
            <w:r w:rsidR="004A4F72">
              <w:rPr>
                <w:rFonts w:cs="Arial"/>
              </w:rPr>
              <w:t>ARC</w:t>
            </w:r>
            <w:r w:rsidRPr="004A4F72">
              <w:rPr>
                <w:rFonts w:cs="Arial"/>
              </w:rPr>
              <w:t xml:space="preserve"> to help maintain topicality</w:t>
            </w:r>
          </w:p>
          <w:p w14:paraId="76ADC20A" w14:textId="77777777" w:rsidR="005A1721" w:rsidRPr="004A4F72" w:rsidRDefault="005A1721" w:rsidP="0024733B">
            <w:pPr>
              <w:ind w:left="222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9DE91" w14:textId="77777777" w:rsidR="005A1721" w:rsidRPr="004A4F72" w:rsidRDefault="004A4F72" w:rsidP="004A4F72">
            <w:pPr>
              <w:rPr>
                <w:rFonts w:cs="Arial"/>
              </w:rPr>
            </w:pPr>
            <w:r>
              <w:rPr>
                <w:rFonts w:cs="Arial"/>
              </w:rPr>
              <w:t>CS</w:t>
            </w:r>
            <w:r w:rsidR="005A1721" w:rsidRPr="004A4F72">
              <w:rPr>
                <w:rFonts w:cs="Arial"/>
              </w:rPr>
              <w:t xml:space="preserve"> / JP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C0790" w14:textId="5E2D4FC0" w:rsidR="005A1721" w:rsidRPr="004A4F72" w:rsidRDefault="008A7167" w:rsidP="0024733B">
            <w:pPr>
              <w:rPr>
                <w:rFonts w:cs="Arial"/>
              </w:rPr>
            </w:pPr>
            <w:r>
              <w:rPr>
                <w:rFonts w:cs="Arial"/>
              </w:rPr>
              <w:t>Websites to be reviewed and relaunched due to current CMS system ending</w:t>
            </w:r>
          </w:p>
        </w:tc>
      </w:tr>
      <w:tr w:rsidR="005A1721" w:rsidRPr="00BC55DC" w14:paraId="59D936F1" w14:textId="77777777" w:rsidTr="0024733B">
        <w:trPr>
          <w:trHeight w:val="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4C3DD" w14:textId="47452736" w:rsidR="005A1721" w:rsidRPr="004A4F72" w:rsidRDefault="005A1721" w:rsidP="005A1721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bookmarkStart w:id="1" w:name="_Hlk502838969"/>
            <w:r w:rsidRPr="004A4F72">
              <w:rPr>
                <w:rFonts w:cs="Arial"/>
              </w:rPr>
              <w:t>Raise UKCPI profile via conference presence and associated PR &amp; marketing work</w:t>
            </w:r>
          </w:p>
          <w:bookmarkEnd w:id="1"/>
          <w:p w14:paraId="71BAEE98" w14:textId="77777777" w:rsidR="005A1721" w:rsidRPr="004A4F72" w:rsidRDefault="005A1721" w:rsidP="0024733B">
            <w:pPr>
              <w:ind w:left="168"/>
              <w:rPr>
                <w:rFonts w:cs="Aria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030FC" w14:textId="77777777" w:rsidR="005A1721" w:rsidRPr="004A4F72" w:rsidRDefault="004A4F72" w:rsidP="004A4F72">
            <w:pPr>
              <w:rPr>
                <w:rFonts w:cs="Arial"/>
              </w:rPr>
            </w:pPr>
            <w:r>
              <w:rPr>
                <w:rFonts w:cs="Arial"/>
              </w:rPr>
              <w:t>ARC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3FF74" w14:textId="77777777" w:rsidR="005A1721" w:rsidRPr="004A4F72" w:rsidRDefault="005A1721" w:rsidP="004A4F72">
            <w:pPr>
              <w:rPr>
                <w:rFonts w:cs="Arial"/>
              </w:rPr>
            </w:pPr>
            <w:r w:rsidRPr="004A4F72">
              <w:rPr>
                <w:rFonts w:cs="Arial"/>
              </w:rPr>
              <w:t xml:space="preserve">PM / </w:t>
            </w:r>
            <w:r w:rsidR="004A4F72">
              <w:rPr>
                <w:rFonts w:cs="Arial"/>
              </w:rPr>
              <w:t>CS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BB8B1" w14:textId="77777777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Support Cleaning Products Europe conference</w:t>
            </w:r>
          </w:p>
        </w:tc>
      </w:tr>
      <w:tr w:rsidR="005A1721" w:rsidRPr="00BC55DC" w14:paraId="0AA17B63" w14:textId="77777777" w:rsidTr="0024733B">
        <w:trPr>
          <w:trHeight w:val="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D90D1" w14:textId="77777777" w:rsidR="005A1721" w:rsidRPr="004A4F72" w:rsidRDefault="005A1721" w:rsidP="005A1721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</w:rPr>
              <w:t xml:space="preserve">Maintain </w:t>
            </w:r>
            <w:r w:rsidRPr="004A4F72">
              <w:rPr>
                <w:rFonts w:cs="Arial"/>
                <w:b/>
              </w:rPr>
              <w:t>social media</w:t>
            </w:r>
            <w:r w:rsidRPr="004A4F72">
              <w:rPr>
                <w:rFonts w:cs="Arial"/>
              </w:rPr>
              <w:t xml:space="preserve"> activity </w:t>
            </w:r>
          </w:p>
          <w:p w14:paraId="724996E3" w14:textId="77777777" w:rsidR="005A1721" w:rsidRPr="004A4F72" w:rsidRDefault="005A1721" w:rsidP="0024733B">
            <w:pPr>
              <w:ind w:left="168"/>
              <w:rPr>
                <w:rFonts w:cs="Aria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E7123" w14:textId="77777777" w:rsidR="005A1721" w:rsidRPr="004A4F72" w:rsidRDefault="005A1721" w:rsidP="0024733B">
            <w:pPr>
              <w:ind w:left="222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70A21" w14:textId="77777777" w:rsidR="005A1721" w:rsidRPr="004A4F72" w:rsidRDefault="004A4F72" w:rsidP="004A4F72">
            <w:pPr>
              <w:rPr>
                <w:rFonts w:cs="Arial"/>
              </w:rPr>
            </w:pPr>
            <w:r>
              <w:rPr>
                <w:rFonts w:cs="Arial"/>
              </w:rPr>
              <w:t>CS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DD1A7" w14:textId="77777777" w:rsidR="005A1721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Active Twitter account</w:t>
            </w:r>
            <w:r w:rsidR="008C5EC1">
              <w:rPr>
                <w:rFonts w:cs="Arial"/>
              </w:rPr>
              <w:t xml:space="preserve"> and LinkedIn company page.</w:t>
            </w:r>
          </w:p>
          <w:p w14:paraId="450C7997" w14:textId="08C25E46" w:rsidR="008C5EC1" w:rsidRPr="004A4F72" w:rsidRDefault="008C5EC1" w:rsidP="0024733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#RecycleMe material developed and available to support plastics issues</w:t>
            </w:r>
          </w:p>
        </w:tc>
      </w:tr>
      <w:tr w:rsidR="005A1721" w:rsidRPr="00BC55DC" w14:paraId="57BA3E7A" w14:textId="77777777" w:rsidTr="0024733B">
        <w:trPr>
          <w:trHeight w:val="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73D29" w14:textId="2340D1EE" w:rsidR="005A1721" w:rsidRPr="004A4F72" w:rsidRDefault="005A1721" w:rsidP="005A1721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  <w:b/>
              </w:rPr>
              <w:lastRenderedPageBreak/>
              <w:t>Education:</w:t>
            </w:r>
            <w:r w:rsidRPr="004A4F72">
              <w:rPr>
                <w:rFonts w:cs="Arial"/>
              </w:rPr>
              <w:t xml:space="preserve"> develop child safety pre-school pack</w:t>
            </w:r>
          </w:p>
          <w:p w14:paraId="60C23093" w14:textId="77777777" w:rsidR="005A1721" w:rsidRPr="004A4F72" w:rsidRDefault="005A1721" w:rsidP="0024733B">
            <w:pPr>
              <w:ind w:left="168"/>
              <w:rPr>
                <w:rFonts w:cs="Aria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E59C9" w14:textId="77777777" w:rsidR="005A1721" w:rsidRPr="004A4F72" w:rsidRDefault="004A4F72" w:rsidP="0024733B">
            <w:pPr>
              <w:rPr>
                <w:rFonts w:cs="Arial"/>
              </w:rPr>
            </w:pPr>
            <w:r>
              <w:rPr>
                <w:rFonts w:cs="Arial"/>
              </w:rPr>
              <w:t>ARC</w:t>
            </w:r>
            <w:r w:rsidR="005A1721" w:rsidRPr="004A4F72">
              <w:rPr>
                <w:rFonts w:cs="Arial"/>
              </w:rPr>
              <w:t xml:space="preserve"> / Child Accident Prevention Trust</w:t>
            </w:r>
          </w:p>
          <w:p w14:paraId="4B573A74" w14:textId="77777777" w:rsidR="005A1721" w:rsidRPr="004A4F72" w:rsidRDefault="005A1721" w:rsidP="0024733B">
            <w:pPr>
              <w:ind w:left="222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A4416" w14:textId="77777777" w:rsidR="005A1721" w:rsidRPr="004A4F72" w:rsidRDefault="005A1721" w:rsidP="004A4F72">
            <w:pPr>
              <w:rPr>
                <w:rFonts w:cs="Arial"/>
              </w:rPr>
            </w:pPr>
            <w:r w:rsidRPr="004A4F72">
              <w:rPr>
                <w:rFonts w:cs="Arial"/>
              </w:rPr>
              <w:t xml:space="preserve">PM / </w:t>
            </w:r>
            <w:r w:rsidR="004A4F72">
              <w:rPr>
                <w:rFonts w:cs="Arial"/>
              </w:rPr>
              <w:t>CS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2F8ED" w14:textId="4CA5C7E8" w:rsidR="005A1721" w:rsidRPr="004A4F72" w:rsidRDefault="004A4F72" w:rsidP="0024733B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A1721" w:rsidRPr="004A4F72">
              <w:rPr>
                <w:rFonts w:cs="Arial"/>
              </w:rPr>
              <w:t>lassroom and teachers’ pack</w:t>
            </w:r>
            <w:r w:rsidR="007B7B30">
              <w:rPr>
                <w:rFonts w:cs="Arial"/>
              </w:rPr>
              <w:t xml:space="preserve"> roll out </w:t>
            </w:r>
            <w:r w:rsidR="002E2C90">
              <w:rPr>
                <w:rFonts w:cs="Arial"/>
              </w:rPr>
              <w:t>in 2 regions</w:t>
            </w:r>
            <w:r w:rsidR="009D0647">
              <w:rPr>
                <w:rFonts w:cs="Arial"/>
              </w:rPr>
              <w:t xml:space="preserve"> and then review broader opportunities</w:t>
            </w:r>
            <w:r w:rsidR="005A1721" w:rsidRPr="004A4F72">
              <w:rPr>
                <w:rFonts w:cs="Arial"/>
              </w:rPr>
              <w:t xml:space="preserve"> </w:t>
            </w:r>
          </w:p>
          <w:p w14:paraId="29D47C88" w14:textId="77777777" w:rsidR="005A1721" w:rsidRPr="004A4F72" w:rsidRDefault="005A1721" w:rsidP="0024733B">
            <w:pPr>
              <w:rPr>
                <w:rFonts w:cs="Arial"/>
              </w:rPr>
            </w:pPr>
          </w:p>
        </w:tc>
      </w:tr>
      <w:tr w:rsidR="005A1721" w:rsidRPr="00BC55DC" w14:paraId="0E265B54" w14:textId="77777777" w:rsidTr="0024733B">
        <w:trPr>
          <w:trHeight w:val="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BBCB1" w14:textId="335B4C7F" w:rsidR="005A1721" w:rsidRPr="004A4F72" w:rsidRDefault="005A1721" w:rsidP="009D0647">
            <w:pPr>
              <w:numPr>
                <w:ilvl w:val="0"/>
                <w:numId w:val="4"/>
              </w:numPr>
              <w:tabs>
                <w:tab w:val="clear" w:pos="360"/>
                <w:tab w:val="num" w:pos="168"/>
              </w:tabs>
              <w:spacing w:after="0" w:line="240" w:lineRule="auto"/>
              <w:ind w:left="168" w:hanging="168"/>
              <w:rPr>
                <w:rFonts w:cs="Arial"/>
              </w:rPr>
            </w:pPr>
            <w:r w:rsidRPr="004A4F72">
              <w:rPr>
                <w:rFonts w:cs="Arial"/>
                <w:b/>
              </w:rPr>
              <w:t xml:space="preserve">Promote safe use of products: </w:t>
            </w:r>
            <w:r w:rsidRPr="004A4F72">
              <w:rPr>
                <w:rFonts w:cs="Arial"/>
              </w:rPr>
              <w:t>maintain RoSPA</w:t>
            </w:r>
            <w:r w:rsidR="00C05243">
              <w:rPr>
                <w:rFonts w:cs="Arial"/>
              </w:rPr>
              <w:t xml:space="preserve"> regional home safety campaign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29B22" w14:textId="3C901DEA" w:rsidR="005A1721" w:rsidRPr="004A4F72" w:rsidRDefault="004A4F72" w:rsidP="009D0647">
            <w:pPr>
              <w:rPr>
                <w:rFonts w:cs="Arial"/>
              </w:rPr>
            </w:pPr>
            <w:r>
              <w:rPr>
                <w:rFonts w:cs="Arial"/>
              </w:rPr>
              <w:t>ARC</w:t>
            </w:r>
            <w:r w:rsidR="005A1721" w:rsidRPr="004A4F72">
              <w:rPr>
                <w:rFonts w:cs="Arial"/>
              </w:rPr>
              <w:t xml:space="preserve"> / RoSPA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6301B" w14:textId="77777777" w:rsidR="005A1721" w:rsidRPr="004A4F72" w:rsidRDefault="004A4F72" w:rsidP="004A4F72">
            <w:pPr>
              <w:rPr>
                <w:rFonts w:cs="Arial"/>
              </w:rPr>
            </w:pPr>
            <w:r>
              <w:rPr>
                <w:rFonts w:cs="Arial"/>
              </w:rPr>
              <w:t>PM / CS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063F6" w14:textId="7FD85C8A" w:rsidR="005A1721" w:rsidRPr="004A4F72" w:rsidRDefault="005A1721" w:rsidP="0024733B">
            <w:pPr>
              <w:rPr>
                <w:rFonts w:cs="Arial"/>
              </w:rPr>
            </w:pPr>
            <w:r w:rsidRPr="004A4F72">
              <w:rPr>
                <w:rFonts w:cs="Arial"/>
              </w:rPr>
              <w:t>Funding secured for 201</w:t>
            </w:r>
            <w:r w:rsidR="009D0647">
              <w:rPr>
                <w:rFonts w:cs="Arial"/>
              </w:rPr>
              <w:t>9</w:t>
            </w:r>
            <w:r w:rsidRPr="004A4F72">
              <w:rPr>
                <w:rFonts w:cs="Arial"/>
              </w:rPr>
              <w:t xml:space="preserve"> RoSPA campaign</w:t>
            </w:r>
            <w:r w:rsidR="004A4F72">
              <w:rPr>
                <w:rFonts w:cs="Arial"/>
              </w:rPr>
              <w:t xml:space="preserve"> launches in 2 regions</w:t>
            </w:r>
          </w:p>
          <w:p w14:paraId="36379A47" w14:textId="38AB1355" w:rsidR="005A1721" w:rsidRPr="004A4F72" w:rsidRDefault="005A1721" w:rsidP="0024733B">
            <w:pPr>
              <w:rPr>
                <w:rFonts w:cs="Arial"/>
              </w:rPr>
            </w:pPr>
          </w:p>
        </w:tc>
      </w:tr>
    </w:tbl>
    <w:p w14:paraId="708A6E91" w14:textId="77777777" w:rsidR="005A1721" w:rsidRPr="00BC55DC" w:rsidRDefault="005A1721"/>
    <w:sectPr w:rsidR="005A1721" w:rsidRPr="00BC55DC" w:rsidSect="00A17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F0AC" w14:textId="77777777" w:rsidR="003C68F5" w:rsidRDefault="003C68F5" w:rsidP="00CD2F55">
      <w:pPr>
        <w:spacing w:after="0" w:line="240" w:lineRule="auto"/>
      </w:pPr>
      <w:r>
        <w:separator/>
      </w:r>
    </w:p>
  </w:endnote>
  <w:endnote w:type="continuationSeparator" w:id="0">
    <w:p w14:paraId="6E1FEFD3" w14:textId="77777777" w:rsidR="003C68F5" w:rsidRDefault="003C68F5" w:rsidP="00CD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9444" w14:textId="77777777" w:rsidR="004B6D17" w:rsidRDefault="004B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327C" w14:textId="77777777" w:rsidR="004B6D17" w:rsidRDefault="004B6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6A01" w14:textId="77777777" w:rsidR="004B6D17" w:rsidRDefault="004B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2FBB5" w14:textId="77777777" w:rsidR="003C68F5" w:rsidRDefault="003C68F5" w:rsidP="00CD2F55">
      <w:pPr>
        <w:spacing w:after="0" w:line="240" w:lineRule="auto"/>
      </w:pPr>
      <w:r>
        <w:separator/>
      </w:r>
    </w:p>
  </w:footnote>
  <w:footnote w:type="continuationSeparator" w:id="0">
    <w:p w14:paraId="401EAEDC" w14:textId="77777777" w:rsidR="003C68F5" w:rsidRDefault="003C68F5" w:rsidP="00CD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3EE0" w14:textId="77777777" w:rsidR="004B6D17" w:rsidRDefault="004B6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2DFE" w14:textId="4E4DC8AA" w:rsidR="00CD2F55" w:rsidRPr="004A4F72" w:rsidRDefault="00CD2F55" w:rsidP="00CD2F55">
    <w:pPr>
      <w:pStyle w:val="Header"/>
      <w:jc w:val="center"/>
      <w:rPr>
        <w:b/>
        <w:sz w:val="32"/>
        <w:szCs w:val="32"/>
      </w:rPr>
    </w:pPr>
    <w:r w:rsidRPr="004A4F72">
      <w:rPr>
        <w:b/>
        <w:sz w:val="32"/>
        <w:szCs w:val="32"/>
      </w:rPr>
      <w:t>Advocacy, Regulatory and Commun</w:t>
    </w:r>
    <w:r w:rsidR="007B7B30">
      <w:rPr>
        <w:b/>
        <w:sz w:val="32"/>
        <w:szCs w:val="32"/>
      </w:rPr>
      <w:t xml:space="preserve">ications Committee Workplan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135D" w14:textId="77777777" w:rsidR="004B6D17" w:rsidRDefault="004B6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13B3A"/>
    <w:multiLevelType w:val="hybridMultilevel"/>
    <w:tmpl w:val="D5500EDC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04D8"/>
    <w:multiLevelType w:val="hybridMultilevel"/>
    <w:tmpl w:val="6E588E7C"/>
    <w:lvl w:ilvl="0" w:tplc="86666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1808"/>
    <w:multiLevelType w:val="hybridMultilevel"/>
    <w:tmpl w:val="658E84BE"/>
    <w:lvl w:ilvl="0" w:tplc="86666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E2024E0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1A54"/>
    <w:multiLevelType w:val="hybridMultilevel"/>
    <w:tmpl w:val="B262F372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72"/>
    <w:rsid w:val="0002608F"/>
    <w:rsid w:val="001C65FA"/>
    <w:rsid w:val="002E2C90"/>
    <w:rsid w:val="003C68F5"/>
    <w:rsid w:val="004A4F72"/>
    <w:rsid w:val="004B6D17"/>
    <w:rsid w:val="005A1721"/>
    <w:rsid w:val="005D2326"/>
    <w:rsid w:val="006055F1"/>
    <w:rsid w:val="00672988"/>
    <w:rsid w:val="00706537"/>
    <w:rsid w:val="007209E2"/>
    <w:rsid w:val="007B7B30"/>
    <w:rsid w:val="008A7167"/>
    <w:rsid w:val="008C5EC1"/>
    <w:rsid w:val="009A071F"/>
    <w:rsid w:val="009C70F1"/>
    <w:rsid w:val="009C78A8"/>
    <w:rsid w:val="009D0647"/>
    <w:rsid w:val="00A17672"/>
    <w:rsid w:val="00BA68A5"/>
    <w:rsid w:val="00BC55DC"/>
    <w:rsid w:val="00BF0045"/>
    <w:rsid w:val="00C05243"/>
    <w:rsid w:val="00CD2F55"/>
    <w:rsid w:val="00CD6482"/>
    <w:rsid w:val="00D20127"/>
    <w:rsid w:val="00D3117C"/>
    <w:rsid w:val="00D71C3D"/>
    <w:rsid w:val="00DB3A44"/>
    <w:rsid w:val="00DF1050"/>
    <w:rsid w:val="00E17347"/>
    <w:rsid w:val="00FA7D94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2F51"/>
  <w15:docId w15:val="{10526589-50C8-4BBB-A87C-1397808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72"/>
    <w:pPr>
      <w:spacing w:after="200" w:line="276" w:lineRule="auto"/>
    </w:pPr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672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672"/>
    <w:pPr>
      <w:spacing w:after="0" w:line="240" w:lineRule="auto"/>
      <w:ind w:left="720"/>
    </w:pPr>
    <w:rPr>
      <w:rFonts w:ascii="Tahoma" w:hAnsi="Tahoma"/>
      <w:noProof w:val="0"/>
      <w:szCs w:val="24"/>
    </w:rPr>
  </w:style>
  <w:style w:type="character" w:styleId="Hyperlink">
    <w:name w:val="Hyperlink"/>
    <w:rsid w:val="005A17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55"/>
    <w:rPr>
      <w:rFonts w:eastAsia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D2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55"/>
    <w:rPr>
      <w:rFonts w:eastAsia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E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fessionalcleanin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Dodgson</dc:creator>
  <cp:lastModifiedBy>Kathryn Dodgson</cp:lastModifiedBy>
  <cp:revision>7</cp:revision>
  <dcterms:created xsi:type="dcterms:W3CDTF">2019-01-02T09:53:00Z</dcterms:created>
  <dcterms:modified xsi:type="dcterms:W3CDTF">2021-02-04T11:26:00Z</dcterms:modified>
</cp:coreProperties>
</file>